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Pr="003D1C15">
        <w:rPr>
          <w:rFonts w:hint="eastAsia"/>
          <w:sz w:val="22"/>
          <w:szCs w:val="22"/>
        </w:rPr>
        <w:t>#101</w:t>
      </w:r>
      <w:r w:rsidR="000B7332">
        <w:rPr>
          <w:sz w:val="22"/>
          <w:szCs w:val="22"/>
        </w:rPr>
        <w:t>-bis</w:t>
      </w:r>
      <w:r w:rsidRPr="003D1C15">
        <w:rPr>
          <w:sz w:val="22"/>
          <w:szCs w:val="22"/>
        </w:rPr>
        <w:tab/>
      </w:r>
      <w:r>
        <w:rPr>
          <w:sz w:val="22"/>
          <w:szCs w:val="22"/>
        </w:rPr>
        <w:tab/>
      </w:r>
      <w:r w:rsidRPr="003D1C15">
        <w:rPr>
          <w:sz w:val="22"/>
          <w:szCs w:val="22"/>
        </w:rPr>
        <w:t>R2-18</w:t>
      </w:r>
      <w:r w:rsidRPr="003D1C15">
        <w:rPr>
          <w:rFonts w:hint="eastAsia"/>
          <w:sz w:val="22"/>
          <w:szCs w:val="22"/>
        </w:rPr>
        <w:t>0</w:t>
      </w:r>
      <w:r w:rsidR="00960D9A">
        <w:rPr>
          <w:sz w:val="22"/>
          <w:szCs w:val="22"/>
        </w:rPr>
        <w:t>4482</w:t>
      </w:r>
    </w:p>
    <w:bookmarkEnd w:id="0"/>
    <w:bookmarkEnd w:id="1"/>
    <w:p w:rsidR="003D1C15" w:rsidRPr="003D1C15" w:rsidRDefault="000B7332" w:rsidP="003D1C15">
      <w:pPr>
        <w:pStyle w:val="Header"/>
        <w:jc w:val="both"/>
        <w:rPr>
          <w:sz w:val="22"/>
          <w:szCs w:val="22"/>
        </w:rPr>
      </w:pPr>
      <w:r>
        <w:rPr>
          <w:sz w:val="22"/>
          <w:szCs w:val="22"/>
        </w:rPr>
        <w:t>Sanya</w:t>
      </w:r>
      <w:r w:rsidR="003D1C15" w:rsidRPr="003D1C15">
        <w:rPr>
          <w:sz w:val="22"/>
          <w:szCs w:val="22"/>
        </w:rPr>
        <w:t xml:space="preserve">, </w:t>
      </w:r>
      <w:r>
        <w:rPr>
          <w:sz w:val="22"/>
          <w:szCs w:val="22"/>
        </w:rPr>
        <w:t>China, 1</w:t>
      </w:r>
      <w:r>
        <w:rPr>
          <w:rFonts w:hint="eastAsia"/>
          <w:sz w:val="22"/>
          <w:szCs w:val="22"/>
        </w:rPr>
        <w:t>6</w:t>
      </w:r>
      <w:r>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0th</w:t>
      </w:r>
      <w:r w:rsidR="003D1C15" w:rsidRPr="003D1C15">
        <w:rPr>
          <w:sz w:val="22"/>
          <w:szCs w:val="22"/>
        </w:rPr>
        <w:t xml:space="preserve"> </w:t>
      </w:r>
      <w:r>
        <w:rPr>
          <w:sz w:val="22"/>
          <w:szCs w:val="22"/>
        </w:rPr>
        <w:t>April</w:t>
      </w:r>
      <w:r w:rsidR="003D1C15" w:rsidRPr="003D1C15">
        <w:rPr>
          <w:sz w:val="22"/>
          <w:szCs w:val="22"/>
        </w:rPr>
        <w:t xml:space="preserve"> 2018</w:t>
      </w:r>
    </w:p>
    <w:p w:rsidR="009D6560" w:rsidRPr="003D1C15"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AD49BC">
        <w:rPr>
          <w:rFonts w:cs="Arial"/>
          <w:sz w:val="22"/>
          <w:szCs w:val="22"/>
        </w:rPr>
        <w:t>BFR configurations and fallback options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AD49BC">
        <w:rPr>
          <w:rFonts w:eastAsia="宋体" w:cs="Arial"/>
          <w:sz w:val="22"/>
          <w:szCs w:val="22"/>
          <w:lang w:eastAsia="zh-CN"/>
        </w:rPr>
        <w:t>3.1.4.2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AD49BC" w:rsidRDefault="00AD49BC" w:rsidP="00BE2F35">
      <w:pPr>
        <w:pStyle w:val="BodyText"/>
        <w:spacing w:beforeLines="50"/>
        <w:rPr>
          <w:rFonts w:eastAsia="宋体"/>
          <w:szCs w:val="20"/>
          <w:lang w:eastAsia="zh-CN"/>
        </w:rPr>
      </w:pPr>
      <w:r>
        <w:rPr>
          <w:rFonts w:eastAsia="宋体"/>
          <w:szCs w:val="20"/>
          <w:lang w:eastAsia="zh-CN"/>
        </w:rPr>
        <w:t>Beam Failure Recovery (BFR) was further progressed in RAN2#101 with the following agreements:</w:t>
      </w:r>
    </w:p>
    <w:p w:rsidR="00AD49BC" w:rsidRPr="00BE3303" w:rsidRDefault="00AD49BC" w:rsidP="00AD49BC">
      <w:pPr>
        <w:pStyle w:val="Doc-text2"/>
        <w:pBdr>
          <w:top w:val="single" w:sz="4" w:space="1" w:color="auto"/>
          <w:left w:val="single" w:sz="4" w:space="4" w:color="auto"/>
          <w:bottom w:val="single" w:sz="4" w:space="1" w:color="auto"/>
          <w:right w:val="single" w:sz="4" w:space="4" w:color="auto"/>
        </w:pBdr>
        <w:rPr>
          <w:rFonts w:cs="Arial"/>
          <w:b/>
          <w:iCs/>
        </w:rPr>
      </w:pPr>
      <w:r w:rsidRPr="00BE3303">
        <w:rPr>
          <w:rFonts w:cs="Arial"/>
          <w:b/>
          <w:iCs/>
        </w:rPr>
        <w:t>Agreements</w:t>
      </w:r>
    </w:p>
    <w:p w:rsidR="00AD49BC" w:rsidRPr="00BE3303" w:rsidRDefault="00AD49BC" w:rsidP="00AD49BC">
      <w:pPr>
        <w:pStyle w:val="Doc-text2"/>
        <w:numPr>
          <w:ilvl w:val="0"/>
          <w:numId w:val="45"/>
        </w:numPr>
        <w:pBdr>
          <w:top w:val="single" w:sz="4" w:space="1" w:color="auto"/>
          <w:left w:val="single" w:sz="4" w:space="4" w:color="auto"/>
          <w:bottom w:val="single" w:sz="4" w:space="1" w:color="auto"/>
          <w:right w:val="single" w:sz="4" w:space="4" w:color="auto"/>
        </w:pBdr>
        <w:rPr>
          <w:rFonts w:cs="Arial"/>
          <w:iCs/>
        </w:rPr>
      </w:pPr>
      <w:r>
        <w:rPr>
          <w:rFonts w:cs="Arial"/>
          <w:iCs/>
        </w:rPr>
        <w:t xml:space="preserve">Single maxpreamble, </w:t>
      </w:r>
      <w:r w:rsidRPr="00390DF5">
        <w:rPr>
          <w:rFonts w:cs="Arial"/>
          <w:iCs/>
        </w:rPr>
        <w:t>powerampingstep and received target power parameters are used that can have different values depending on why the random access is used</w:t>
      </w:r>
      <w:r>
        <w:rPr>
          <w:rFonts w:cs="Arial"/>
          <w:iCs/>
        </w:rPr>
        <w:t xml:space="preserve"> (BFR or not).  </w:t>
      </w:r>
    </w:p>
    <w:p w:rsidR="00AD49BC" w:rsidRDefault="00AD49BC" w:rsidP="00AD49BC">
      <w:pPr>
        <w:pStyle w:val="Doc-text2"/>
        <w:pBdr>
          <w:top w:val="single" w:sz="4" w:space="1" w:color="auto"/>
          <w:left w:val="single" w:sz="4" w:space="4" w:color="auto"/>
          <w:bottom w:val="single" w:sz="4" w:space="1" w:color="auto"/>
          <w:right w:val="single" w:sz="4" w:space="4" w:color="auto"/>
        </w:pBdr>
        <w:rPr>
          <w:rFonts w:cs="Arial"/>
          <w:iCs/>
        </w:rPr>
      </w:pPr>
      <w:r>
        <w:rPr>
          <w:rFonts w:cs="Arial"/>
          <w:iCs/>
        </w:rPr>
        <w:t>3</w:t>
      </w:r>
      <w:r w:rsidRPr="00390DF5">
        <w:rPr>
          <w:rFonts w:cs="Arial"/>
          <w:iCs/>
        </w:rPr>
        <w:tab/>
        <w:t>From RAN2 point of view beamFailureRecoveryTimer is not</w:t>
      </w:r>
      <w:r>
        <w:rPr>
          <w:rFonts w:cs="Arial"/>
          <w:iCs/>
        </w:rPr>
        <w:t xml:space="preserve"> supported</w:t>
      </w:r>
    </w:p>
    <w:p w:rsidR="00AD49BC" w:rsidRDefault="00AD49BC" w:rsidP="00AD49BC">
      <w:pPr>
        <w:pStyle w:val="Doc-text2"/>
        <w:pBdr>
          <w:top w:val="single" w:sz="4" w:space="1" w:color="auto"/>
          <w:left w:val="single" w:sz="4" w:space="4" w:color="auto"/>
          <w:bottom w:val="single" w:sz="4" w:space="1" w:color="auto"/>
          <w:right w:val="single" w:sz="4" w:space="4" w:color="auto"/>
        </w:pBdr>
        <w:rPr>
          <w:rFonts w:cs="Arial"/>
          <w:iCs/>
        </w:rPr>
      </w:pPr>
      <w:r>
        <w:rPr>
          <w:rFonts w:cs="Arial"/>
          <w:iCs/>
        </w:rPr>
        <w:t>4</w:t>
      </w:r>
      <w:r w:rsidRPr="00390DF5">
        <w:rPr>
          <w:rFonts w:cs="Arial"/>
          <w:iCs/>
        </w:rPr>
        <w:tab/>
        <w:t>Assume that at least CFRA BFR can be configured for SCell</w:t>
      </w:r>
      <w:r>
        <w:rPr>
          <w:rFonts w:cs="Arial"/>
          <w:iCs/>
        </w:rPr>
        <w:t xml:space="preserve"> using ASN.1</w:t>
      </w:r>
      <w:r w:rsidRPr="00390DF5">
        <w:rPr>
          <w:rFonts w:cs="Arial"/>
          <w:iCs/>
        </w:rPr>
        <w:t>.  FFS if there are any major impacts to support this in UP</w:t>
      </w:r>
    </w:p>
    <w:p w:rsidR="00AD49BC" w:rsidRPr="0040276F"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5</w:t>
      </w:r>
      <w:r>
        <w:rPr>
          <w:rFonts w:cs="Arial"/>
          <w:lang w:eastAsia="zh-CN"/>
        </w:rPr>
        <w:tab/>
      </w:r>
      <w:r w:rsidRPr="0040276F">
        <w:rPr>
          <w:rFonts w:cs="Arial"/>
          <w:lang w:eastAsia="zh-CN"/>
        </w:rPr>
        <w:t>PHY delivers to MAC “beam failure instance” notifications only and MAC maintains a timer for resetting the counter:</w:t>
      </w:r>
    </w:p>
    <w:p w:rsidR="00AD49BC" w:rsidRPr="0040276F"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xml:space="preserve">-  the timer is (re)started upon every new reception of “beam-failure instance”. </w:t>
      </w:r>
    </w:p>
    <w:p w:rsidR="00AD49BC" w:rsidRPr="0040276F"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At timer expiry the counter is reset.</w:t>
      </w:r>
    </w:p>
    <w:p w:rsidR="00AD49BC"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6</w:t>
      </w:r>
      <w:r>
        <w:rPr>
          <w:rFonts w:cs="Arial"/>
          <w:lang w:eastAsia="zh-CN"/>
        </w:rPr>
        <w:tab/>
      </w:r>
      <w:r w:rsidRPr="0040276F">
        <w:rPr>
          <w:rFonts w:cs="Arial"/>
          <w:lang w:eastAsia="zh-CN"/>
        </w:rPr>
        <w:t>A BFR counter is maintained and incremented at every “beam-failure instance” indication.  When the counter reaches MaxBFI the UE trigger BFR</w:t>
      </w:r>
    </w:p>
    <w:p w:rsidR="00AD49BC" w:rsidRDefault="00AD49BC" w:rsidP="00AD49BC">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r>
      <w:r w:rsidRPr="0040276F">
        <w:rPr>
          <w:lang w:eastAsia="zh-CN"/>
        </w:rPr>
        <w:t xml:space="preserve">Timer is configured in number of </w:t>
      </w:r>
      <w:r>
        <w:rPr>
          <w:lang w:eastAsia="zh-CN"/>
        </w:rPr>
        <w:t>periods (periodicity of BFD RS</w:t>
      </w:r>
      <w:r w:rsidRPr="0040276F">
        <w:rPr>
          <w:lang w:eastAsia="zh-CN"/>
        </w:rPr>
        <w:t>)</w:t>
      </w:r>
      <w:r>
        <w:rPr>
          <w:lang w:eastAsia="zh-CN"/>
        </w:rPr>
        <w:t xml:space="preserve">.  </w:t>
      </w:r>
      <w:r w:rsidRPr="00EA1818">
        <w:rPr>
          <w:lang w:eastAsia="zh-CN"/>
        </w:rPr>
        <w:t>Nokia</w:t>
      </w:r>
      <w:r>
        <w:rPr>
          <w:lang w:eastAsia="zh-CN"/>
        </w:rPr>
        <w:t xml:space="preserve"> will </w:t>
      </w:r>
      <w:r w:rsidRPr="00EA1818">
        <w:rPr>
          <w:lang w:eastAsia="zh-CN"/>
        </w:rPr>
        <w:t>trigger email discussi</w:t>
      </w:r>
      <w:r>
        <w:rPr>
          <w:lang w:eastAsia="zh-CN"/>
        </w:rPr>
        <w:t xml:space="preserve">on on deciding the values for timer using [CB 180] </w:t>
      </w:r>
    </w:p>
    <w:p w:rsidR="00AD49BC" w:rsidRDefault="00AD49BC" w:rsidP="00AD49BC">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r>
      <w:r w:rsidRPr="008F132F">
        <w:rPr>
          <w:highlight w:val="yellow"/>
          <w:lang w:eastAsia="zh-CN"/>
        </w:rPr>
        <w:t>As in all other cases the UE performs random access for BFR on active BWP if RACH resources are available, otherwise it falls back to initial BWP. On each BWP the same prioritization rule is applied (CFRA and then CBRA)</w:t>
      </w:r>
      <w:r>
        <w:rPr>
          <w:lang w:eastAsia="zh-CN"/>
        </w:rPr>
        <w:t>.</w:t>
      </w:r>
    </w:p>
    <w:p w:rsidR="00AD49BC" w:rsidRDefault="00AD49BC" w:rsidP="00AD49BC">
      <w:pPr>
        <w:pStyle w:val="Doc-title"/>
      </w:pPr>
    </w:p>
    <w:p w:rsidR="00AD49BC" w:rsidRPr="00AD49BC" w:rsidRDefault="00AD49BC" w:rsidP="00BE2F35">
      <w:pPr>
        <w:pStyle w:val="BodyText"/>
        <w:spacing w:beforeLines="50"/>
        <w:rPr>
          <w:rFonts w:eastAsia="宋体"/>
          <w:szCs w:val="20"/>
          <w:lang w:val="en-GB" w:eastAsia="zh-CN"/>
        </w:rPr>
      </w:pPr>
      <w:r>
        <w:rPr>
          <w:rFonts w:eastAsia="宋体"/>
          <w:szCs w:val="20"/>
          <w:lang w:val="en-GB" w:eastAsia="zh-CN"/>
        </w:rPr>
        <w:t xml:space="preserve">In parallel, ASN.1 was finalized and </w:t>
      </w:r>
      <w:r w:rsidR="00B7210D">
        <w:rPr>
          <w:lang w:val="en-GB"/>
        </w:rPr>
        <w:t xml:space="preserve">RAN agreed to freeze the March 2018 ASN.1 </w:t>
      </w:r>
      <w:r w:rsidR="00595B66">
        <w:rPr>
          <w:lang w:val="en-GB"/>
        </w:rPr>
        <w:fldChar w:fldCharType="begin"/>
      </w:r>
      <w:r w:rsidR="00B7210D">
        <w:rPr>
          <w:lang w:val="en-GB"/>
        </w:rPr>
        <w:instrText xml:space="preserve"> REF _Ref484943431 \h </w:instrText>
      </w:r>
      <w:r w:rsidR="00595B66">
        <w:rPr>
          <w:lang w:val="en-GB"/>
        </w:rPr>
      </w:r>
      <w:r w:rsidR="00595B66">
        <w:rPr>
          <w:lang w:val="en-GB"/>
        </w:rPr>
        <w:fldChar w:fldCharType="separate"/>
      </w:r>
      <w:r w:rsidR="00B7210D">
        <w:t>[1</w:t>
      </w:r>
      <w:r w:rsidR="00595B66">
        <w:rPr>
          <w:lang w:val="en-GB"/>
        </w:rPr>
        <w:fldChar w:fldCharType="end"/>
      </w:r>
      <w:r w:rsidR="00B7210D">
        <w:rPr>
          <w:lang w:val="en-GB"/>
        </w:rPr>
        <w:t>]. In this contribution, we analyze the resulting possible configurations allowed by the ASN.1 and suggest some extensions to the above agreement #8</w:t>
      </w:r>
      <w:r w:rsidR="008F132F">
        <w:rPr>
          <w:lang w:val="en-GB"/>
        </w:rPr>
        <w:t xml:space="preserve"> in support of those configurations</w:t>
      </w:r>
      <w:r w:rsidR="00B7210D">
        <w:rPr>
          <w:lang w:val="en-GB"/>
        </w:rPr>
        <w:t>.</w:t>
      </w:r>
    </w:p>
    <w:p w:rsidR="009030A7" w:rsidRDefault="009030A7" w:rsidP="009030A7">
      <w:pPr>
        <w:pStyle w:val="Heading1"/>
        <w:jc w:val="both"/>
      </w:pPr>
      <w:r w:rsidRPr="00AA54B6">
        <w:rPr>
          <w:rFonts w:hint="eastAsia"/>
        </w:rPr>
        <w:t>Discussion</w:t>
      </w:r>
    </w:p>
    <w:p w:rsidR="00B7210D" w:rsidRPr="00B7210D" w:rsidRDefault="00B7210D" w:rsidP="00B7210D">
      <w:pPr>
        <w:pStyle w:val="BodyText"/>
        <w:rPr>
          <w:lang w:eastAsia="zh-CN"/>
        </w:rPr>
      </w:pPr>
      <w:r>
        <w:rPr>
          <w:lang w:eastAsia="zh-CN"/>
        </w:rPr>
        <w:t xml:space="preserve">In this </w:t>
      </w:r>
      <w:r w:rsidR="004674C9">
        <w:rPr>
          <w:lang w:eastAsia="zh-CN"/>
        </w:rPr>
        <w:t>discussion</w:t>
      </w:r>
      <w:r>
        <w:rPr>
          <w:lang w:eastAsia="zh-CN"/>
        </w:rPr>
        <w:t xml:space="preserve">, we </w:t>
      </w:r>
      <w:r w:rsidR="00576BF3">
        <w:rPr>
          <w:lang w:eastAsia="zh-CN"/>
        </w:rPr>
        <w:t xml:space="preserve">take as usecase a UE configured with two </w:t>
      </w:r>
      <w:r w:rsidR="008F132F">
        <w:rPr>
          <w:lang w:eastAsia="zh-CN"/>
        </w:rPr>
        <w:t xml:space="preserve">or more </w:t>
      </w:r>
      <w:r w:rsidR="00576BF3">
        <w:rPr>
          <w:lang w:eastAsia="zh-CN"/>
        </w:rPr>
        <w:t xml:space="preserve">BWPs, and being scheduled in </w:t>
      </w:r>
      <w:r w:rsidR="008F132F">
        <w:rPr>
          <w:lang w:eastAsia="zh-CN"/>
        </w:rPr>
        <w:t>an</w:t>
      </w:r>
      <w:r w:rsidR="00576BF3">
        <w:rPr>
          <w:lang w:eastAsia="zh-CN"/>
        </w:rPr>
        <w:t xml:space="preserve"> active BWP different from the initial BWP.</w:t>
      </w:r>
      <w:r>
        <w:rPr>
          <w:lang w:eastAsia="zh-CN"/>
        </w:rPr>
        <w:t xml:space="preserve"> </w:t>
      </w:r>
    </w:p>
    <w:p w:rsidR="00576BF3" w:rsidRDefault="00576BF3" w:rsidP="00377F6F">
      <w:pPr>
        <w:pStyle w:val="Heading2"/>
        <w:numPr>
          <w:ilvl w:val="1"/>
          <w:numId w:val="1"/>
        </w:numPr>
        <w:ind w:left="562" w:hanging="562"/>
      </w:pPr>
      <w:r>
        <w:t xml:space="preserve">CFRA-only BFR </w:t>
      </w:r>
      <w:r w:rsidR="00B7210D">
        <w:t>configuration</w:t>
      </w:r>
      <w:r>
        <w:t xml:space="preserve"> in the active BWP</w:t>
      </w:r>
    </w:p>
    <w:p w:rsidR="00576BF3" w:rsidRDefault="00B9771B" w:rsidP="00576BF3">
      <w:pPr>
        <w:pStyle w:val="BodyText"/>
        <w:rPr>
          <w:lang w:eastAsia="zh-CN"/>
        </w:rPr>
      </w:pPr>
      <w:r>
        <w:rPr>
          <w:lang w:eastAsia="zh-CN"/>
        </w:rPr>
        <w:t xml:space="preserve">Configuring CFRA-only resources in an UL carrier is already quite common in legacy LTE for example to allow a UE acquiring UL synchronization following a PDCCH order in an SCell of an sTAG. But even </w:t>
      </w:r>
      <w:r w:rsidRPr="00B9771B">
        <w:rPr>
          <w:lang w:eastAsia="zh-CN"/>
        </w:rPr>
        <w:t xml:space="preserve">in SpCells, an UL BWP can be configured with CFRA-only resources </w:t>
      </w:r>
      <w:r>
        <w:rPr>
          <w:lang w:eastAsia="zh-CN"/>
        </w:rPr>
        <w:t xml:space="preserve">for BFR and no CBRA resource: this is allowed by the agreed ASN.1 as shown in </w:t>
      </w:r>
      <w:fldSimple w:instr=" REF _Ref509821991 \h  \* MERGEFORMAT ">
        <w:r w:rsidRPr="00576BF3">
          <w:t xml:space="preserve">Figure </w:t>
        </w:r>
        <w:r w:rsidRPr="00576BF3">
          <w:rPr>
            <w:noProof/>
          </w:rPr>
          <w:t>1</w:t>
        </w:r>
      </w:fldSimple>
      <w:r>
        <w:rPr>
          <w:lang w:eastAsia="zh-CN"/>
        </w:rPr>
        <w:t xml:space="preserve">. Not only this is technically possible, but it is also a useful configuration since it allows </w:t>
      </w:r>
      <w:r w:rsidRPr="00B9771B">
        <w:rPr>
          <w:lang w:eastAsia="zh-CN"/>
        </w:rPr>
        <w:t>e.g. focusing the CBRA resources on the initial BWP only</w:t>
      </w:r>
      <w:r>
        <w:rPr>
          <w:lang w:eastAsia="zh-CN"/>
        </w:rPr>
        <w:t xml:space="preserve">. </w:t>
      </w:r>
      <w:r w:rsidR="00EC4980">
        <w:rPr>
          <w:lang w:eastAsia="zh-CN"/>
        </w:rPr>
        <w:t xml:space="preserve">Not only this was the intention motivating the current fallback to initial BWP already captured in TS38.321 </w:t>
      </w:r>
      <w:r w:rsidR="00595B66">
        <w:rPr>
          <w:lang w:eastAsia="zh-CN"/>
        </w:rPr>
        <w:fldChar w:fldCharType="begin"/>
      </w:r>
      <w:r w:rsidR="00EC4980">
        <w:rPr>
          <w:lang w:eastAsia="zh-CN"/>
        </w:rPr>
        <w:instrText xml:space="preserve"> REF _Ref506212295 \h </w:instrText>
      </w:r>
      <w:r w:rsidR="00595B66">
        <w:rPr>
          <w:lang w:eastAsia="zh-CN"/>
        </w:rPr>
      </w:r>
      <w:r w:rsidR="00595B66">
        <w:rPr>
          <w:lang w:eastAsia="zh-CN"/>
        </w:rPr>
        <w:fldChar w:fldCharType="separate"/>
      </w:r>
      <w:r w:rsidR="00EC4980">
        <w:t>[</w:t>
      </w:r>
      <w:r w:rsidR="00EC4980">
        <w:rPr>
          <w:noProof/>
        </w:rPr>
        <w:t>2</w:t>
      </w:r>
      <w:r w:rsidR="00595B66">
        <w:rPr>
          <w:lang w:eastAsia="zh-CN"/>
        </w:rPr>
        <w:fldChar w:fldCharType="end"/>
      </w:r>
      <w:r w:rsidR="00EC4980">
        <w:rPr>
          <w:lang w:eastAsia="zh-CN"/>
        </w:rPr>
        <w:t>], but specifically for BFR</w:t>
      </w:r>
      <w:r>
        <w:rPr>
          <w:lang w:eastAsia="zh-CN"/>
        </w:rPr>
        <w:t>, depending on the number of served UEs and candidate beams configured for BFR, the PRACH resources dedicated to BFR can be quite expensive in which ca</w:t>
      </w:r>
      <w:r w:rsidR="00624E54">
        <w:rPr>
          <w:lang w:eastAsia="zh-CN"/>
        </w:rPr>
        <w:t xml:space="preserve">se it can bring benefit to </w:t>
      </w:r>
      <w:r>
        <w:rPr>
          <w:lang w:eastAsia="zh-CN"/>
        </w:rPr>
        <w:t xml:space="preserve">configure </w:t>
      </w:r>
      <w:r w:rsidR="00624E54">
        <w:rPr>
          <w:lang w:eastAsia="zh-CN"/>
        </w:rPr>
        <w:t>the active</w:t>
      </w:r>
      <w:r>
        <w:rPr>
          <w:lang w:eastAsia="zh-CN"/>
        </w:rPr>
        <w:t xml:space="preserve"> UL BWP with </w:t>
      </w:r>
      <w:r>
        <w:rPr>
          <w:lang w:eastAsia="zh-CN"/>
        </w:rPr>
        <w:lastRenderedPageBreak/>
        <w:t>such resources only</w:t>
      </w:r>
      <w:r w:rsidR="00624E54">
        <w:rPr>
          <w:lang w:eastAsia="zh-CN"/>
        </w:rPr>
        <w:t xml:space="preserve">, </w:t>
      </w:r>
      <w:r w:rsidR="00EC4980">
        <w:rPr>
          <w:lang w:eastAsia="zh-CN"/>
        </w:rPr>
        <w:t>while</w:t>
      </w:r>
      <w:r w:rsidR="00624E54">
        <w:rPr>
          <w:lang w:eastAsia="zh-CN"/>
        </w:rPr>
        <w:t xml:space="preserve"> preventing the UE to switch to the initial BWP if BFR is triggered and at least one of the candidate beams meets the RSRP threshold</w:t>
      </w:r>
      <w:r>
        <w:rPr>
          <w:lang w:eastAsia="zh-CN"/>
        </w:rPr>
        <w:t>.</w:t>
      </w:r>
    </w:p>
    <w:p w:rsidR="00B9771B" w:rsidRDefault="00B9771B" w:rsidP="00576BF3">
      <w:pPr>
        <w:pStyle w:val="BodyText"/>
        <w:rPr>
          <w:b/>
          <w:lang w:eastAsia="zh-CN"/>
        </w:rPr>
      </w:pPr>
      <w:r w:rsidRPr="00B9771B">
        <w:rPr>
          <w:b/>
          <w:lang w:eastAsia="zh-CN"/>
        </w:rPr>
        <w:t>Observation 1: It is beneficial from configuration flexibility and resource efficiency perspective to support configuring CFRA-only BFR resources without CBRA resources in an active BWP different from the initial BWP.</w:t>
      </w:r>
    </w:p>
    <w:p w:rsidR="00595B66" w:rsidRPr="003E2E11" w:rsidRDefault="00F277E4" w:rsidP="003E2E11">
      <w:pPr>
        <w:pStyle w:val="BodyText"/>
        <w:rPr>
          <w:b/>
          <w:lang w:eastAsia="zh-CN"/>
        </w:rPr>
      </w:pPr>
      <w:r w:rsidRPr="003E2E11">
        <w:rPr>
          <w:b/>
          <w:lang w:eastAsia="zh-CN"/>
        </w:rPr>
        <w:t>Observation 2: Current ASN.1 already allows supporting the above configuration.</w:t>
      </w:r>
    </w:p>
    <w:p w:rsidR="00576BF3" w:rsidRDefault="00576BF3" w:rsidP="00576BF3">
      <w:pPr>
        <w:pStyle w:val="BodyText"/>
        <w:rPr>
          <w:lang w:eastAsia="zh-CN"/>
        </w:rPr>
      </w:pPr>
      <w:r>
        <w:rPr>
          <w:lang w:eastAsia="zh-CN"/>
        </w:rPr>
        <w:object w:dxaOrig="15894" w:dyaOrig="8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258.15pt" o:ole="">
            <v:imagedata r:id="rId8" o:title=""/>
          </v:shape>
          <o:OLEObject Type="Embed" ProgID="Visio.Drawing.11" ShapeID="_x0000_i1025" DrawAspect="Content" ObjectID="_1584449437" r:id="rId9"/>
        </w:object>
      </w:r>
    </w:p>
    <w:p w:rsidR="00576BF3" w:rsidRDefault="00576BF3" w:rsidP="00576BF3">
      <w:pPr>
        <w:pStyle w:val="Caption"/>
        <w:keepNext/>
        <w:keepLines/>
        <w:spacing w:before="50"/>
        <w:jc w:val="center"/>
        <w:rPr>
          <w:b/>
          <w:lang w:eastAsia="zh-CN"/>
        </w:rPr>
      </w:pPr>
      <w:bookmarkStart w:id="5" w:name="_Ref509821991"/>
      <w:r w:rsidRPr="00F323A2">
        <w:rPr>
          <w:b/>
        </w:rPr>
        <w:t xml:space="preserve">Figure </w:t>
      </w:r>
      <w:r w:rsidR="00595B66" w:rsidRPr="00F323A2">
        <w:rPr>
          <w:b/>
        </w:rPr>
        <w:fldChar w:fldCharType="begin"/>
      </w:r>
      <w:r w:rsidRPr="00F323A2">
        <w:rPr>
          <w:b/>
        </w:rPr>
        <w:instrText xml:space="preserve"> SEQ Figure \* ARABIC </w:instrText>
      </w:r>
      <w:r w:rsidR="00595B66" w:rsidRPr="00F323A2">
        <w:rPr>
          <w:b/>
        </w:rPr>
        <w:fldChar w:fldCharType="separate"/>
      </w:r>
      <w:r w:rsidRPr="00F323A2">
        <w:rPr>
          <w:b/>
          <w:noProof/>
        </w:rPr>
        <w:t>1</w:t>
      </w:r>
      <w:r w:rsidR="00595B66" w:rsidRPr="00F323A2">
        <w:rPr>
          <w:b/>
        </w:rPr>
        <w:fldChar w:fldCharType="end"/>
      </w:r>
      <w:bookmarkEnd w:id="5"/>
      <w:r w:rsidRPr="00F323A2">
        <w:rPr>
          <w:b/>
        </w:rPr>
        <w:t xml:space="preserve">: </w:t>
      </w:r>
      <w:r w:rsidRPr="00576BF3">
        <w:rPr>
          <w:b/>
        </w:rPr>
        <w:t>CFRA-only BFR configuration in the active BWP</w:t>
      </w:r>
    </w:p>
    <w:p w:rsidR="00576BF3" w:rsidRDefault="003E2E11" w:rsidP="00576BF3">
      <w:pPr>
        <w:pStyle w:val="BodyText"/>
        <w:rPr>
          <w:lang w:eastAsia="zh-CN"/>
        </w:rPr>
      </w:pPr>
      <w:r>
        <w:rPr>
          <w:lang w:eastAsia="zh-CN"/>
        </w:rPr>
        <w:t>However, i</w:t>
      </w:r>
      <w:r w:rsidRPr="003E2E11">
        <w:rPr>
          <w:lang w:eastAsia="zh-CN"/>
        </w:rPr>
        <w:t xml:space="preserve">t is clear that in this case, the </w:t>
      </w:r>
      <w:r>
        <w:rPr>
          <w:lang w:eastAsia="zh-CN"/>
        </w:rPr>
        <w:t xml:space="preserve">above </w:t>
      </w:r>
      <w:r w:rsidRPr="003E2E11">
        <w:rPr>
          <w:lang w:eastAsia="zh-CN"/>
        </w:rPr>
        <w:t>agreement</w:t>
      </w:r>
      <w:r>
        <w:rPr>
          <w:lang w:eastAsia="zh-CN"/>
        </w:rPr>
        <w:t xml:space="preserve"> #8</w:t>
      </w:r>
      <w:r w:rsidRPr="003E2E11">
        <w:rPr>
          <w:lang w:eastAsia="zh-CN"/>
        </w:rPr>
        <w:t xml:space="preserve"> cannot work since </w:t>
      </w:r>
      <w:r w:rsidRPr="003E2E11">
        <w:rPr>
          <w:i/>
          <w:lang w:eastAsia="zh-CN"/>
        </w:rPr>
        <w:t>some</w:t>
      </w:r>
      <w:r>
        <w:rPr>
          <w:lang w:eastAsia="zh-CN"/>
        </w:rPr>
        <w:t xml:space="preserve"> </w:t>
      </w:r>
      <w:r w:rsidRPr="003E2E11">
        <w:rPr>
          <w:lang w:eastAsia="zh-CN"/>
        </w:rPr>
        <w:t xml:space="preserve">RACH resources are </w:t>
      </w:r>
      <w:r>
        <w:rPr>
          <w:lang w:eastAsia="zh-CN"/>
        </w:rPr>
        <w:t xml:space="preserve">still </w:t>
      </w:r>
      <w:r w:rsidRPr="003E2E11">
        <w:rPr>
          <w:lang w:eastAsia="zh-CN"/>
        </w:rPr>
        <w:t xml:space="preserve">configured in the active BWP, thus precluding any fallback to initial BWP, but no fallback to CBRA is possible, which breaks the </w:t>
      </w:r>
      <w:r>
        <w:rPr>
          <w:lang w:eastAsia="zh-CN"/>
        </w:rPr>
        <w:t xml:space="preserve">current </w:t>
      </w:r>
      <w:r w:rsidRPr="003E2E11">
        <w:rPr>
          <w:lang w:eastAsia="zh-CN"/>
        </w:rPr>
        <w:t>BFR procedure</w:t>
      </w:r>
      <w:r>
        <w:rPr>
          <w:lang w:eastAsia="zh-CN"/>
        </w:rPr>
        <w:t>.</w:t>
      </w:r>
    </w:p>
    <w:p w:rsidR="00595B66" w:rsidRPr="003E2E11" w:rsidRDefault="00F277E4" w:rsidP="003E2E11">
      <w:pPr>
        <w:pStyle w:val="BodyText"/>
        <w:rPr>
          <w:b/>
          <w:lang w:eastAsia="zh-CN"/>
        </w:rPr>
      </w:pPr>
      <w:r w:rsidRPr="003E2E11">
        <w:rPr>
          <w:b/>
          <w:lang w:eastAsia="zh-CN"/>
        </w:rPr>
        <w:t xml:space="preserve">Observation 3: RAN2#101 meeting agreement #8 </w:t>
      </w:r>
      <w:r w:rsidR="00117206">
        <w:rPr>
          <w:b/>
          <w:lang w:eastAsia="zh-CN"/>
        </w:rPr>
        <w:t xml:space="preserve">on BFR </w:t>
      </w:r>
      <w:r w:rsidRPr="003E2E11">
        <w:rPr>
          <w:b/>
          <w:lang w:eastAsia="zh-CN"/>
        </w:rPr>
        <w:t xml:space="preserve">is not sufficient to support the above configuration. </w:t>
      </w:r>
    </w:p>
    <w:p w:rsidR="00595B66" w:rsidRDefault="00F277E4" w:rsidP="003E2E11">
      <w:pPr>
        <w:pStyle w:val="BodyText"/>
        <w:rPr>
          <w:b/>
          <w:lang w:eastAsia="zh-CN"/>
        </w:rPr>
      </w:pPr>
      <w:r w:rsidRPr="003E2E11">
        <w:rPr>
          <w:b/>
          <w:lang w:eastAsia="zh-CN"/>
        </w:rPr>
        <w:t xml:space="preserve">Proposal 1: The BFR procedure should support fallback options in support of configurations where CFRA-only BFR resources are configured in an active BWP different from the initial BWP. </w:t>
      </w:r>
    </w:p>
    <w:p w:rsidR="00986B00" w:rsidRDefault="00986B00" w:rsidP="003E2E11">
      <w:pPr>
        <w:pStyle w:val="BodyText"/>
        <w:rPr>
          <w:lang w:eastAsia="zh-CN"/>
        </w:rPr>
      </w:pPr>
      <w:r>
        <w:rPr>
          <w:lang w:eastAsia="zh-CN"/>
        </w:rPr>
        <w:t>We now look at the adjustments required to the agreement #8 in support of this configuration.</w:t>
      </w:r>
    </w:p>
    <w:p w:rsidR="00986B00" w:rsidRDefault="00986B00" w:rsidP="003E2E11">
      <w:pPr>
        <w:pStyle w:val="BodyText"/>
        <w:rPr>
          <w:lang w:eastAsia="zh-CN"/>
        </w:rPr>
      </w:pPr>
      <w:r>
        <w:rPr>
          <w:lang w:eastAsia="zh-CN"/>
        </w:rPr>
        <w:t>Clearly, if contention-free resources are configured in the active BWP and a BFR is triggered, the UE should start a random access procedure for BFR in the same BWP, it does not need to switch BWP.</w:t>
      </w:r>
    </w:p>
    <w:p w:rsidR="00986B00" w:rsidRPr="00990CAA" w:rsidRDefault="00986B00" w:rsidP="00986B00">
      <w:pPr>
        <w:pStyle w:val="BodyText"/>
        <w:rPr>
          <w:b/>
          <w:bCs/>
        </w:rPr>
      </w:pPr>
      <w:r>
        <w:rPr>
          <w:b/>
          <w:bCs/>
        </w:rPr>
        <w:t>Proposal 2</w:t>
      </w:r>
      <w:r w:rsidRPr="00990CAA">
        <w:rPr>
          <w:b/>
          <w:bCs/>
        </w:rPr>
        <w:t xml:space="preserve">: Upon BFR trigger, a UE in an active BWP where </w:t>
      </w:r>
      <w:r w:rsidRPr="00990CAA">
        <w:rPr>
          <w:b/>
          <w:bCs/>
          <w:i/>
          <w:iCs/>
          <w:lang w:val="en-GB"/>
        </w:rPr>
        <w:t>BeamFailureRecoveryConfig</w:t>
      </w:r>
      <w:r w:rsidRPr="00990CAA">
        <w:rPr>
          <w:b/>
          <w:bCs/>
        </w:rPr>
        <w:t xml:space="preserve"> is configured initiates BFR-RA</w:t>
      </w:r>
      <w:r>
        <w:rPr>
          <w:b/>
          <w:bCs/>
        </w:rPr>
        <w:t xml:space="preserve"> in this BWP</w:t>
      </w:r>
      <w:r w:rsidRPr="00990CAA">
        <w:rPr>
          <w:b/>
          <w:bCs/>
        </w:rPr>
        <w:t>.</w:t>
      </w:r>
    </w:p>
    <w:p w:rsidR="00986B00" w:rsidRPr="00986B00" w:rsidRDefault="00986B00" w:rsidP="003E2E11">
      <w:pPr>
        <w:pStyle w:val="BodyText"/>
        <w:rPr>
          <w:lang w:eastAsia="zh-CN"/>
        </w:rPr>
      </w:pPr>
      <w:r w:rsidRPr="00986B00">
        <w:rPr>
          <w:lang w:eastAsia="zh-CN"/>
        </w:rPr>
        <w:t>Now, if during the RA procedure, no candidate beam meets the RSRP threshold</w:t>
      </w:r>
      <w:r>
        <w:rPr>
          <w:lang w:eastAsia="zh-CN"/>
        </w:rPr>
        <w:t>, the UE shall fallback to CBRA, which is the already agreed extension by RAN2 to the initial RAN1 agreements. However, since no such CBRA resources are available in the active BWP, the UE needs to switch to the initial BWP, as for a regular RA procedure.</w:t>
      </w:r>
    </w:p>
    <w:p w:rsidR="00986B00" w:rsidRPr="00986B00" w:rsidRDefault="00986B00" w:rsidP="003E2E11">
      <w:pPr>
        <w:pStyle w:val="BodyText"/>
        <w:rPr>
          <w:b/>
          <w:lang w:eastAsia="zh-CN"/>
        </w:rPr>
      </w:pPr>
      <w:r w:rsidRPr="00986B00">
        <w:rPr>
          <w:b/>
          <w:lang w:eastAsia="zh-CN"/>
        </w:rPr>
        <w:lastRenderedPageBreak/>
        <w:t xml:space="preserve">Proposal 3: A UE in an active BWP where </w:t>
      </w:r>
      <w:r w:rsidRPr="00986B00">
        <w:rPr>
          <w:b/>
          <w:i/>
          <w:iCs/>
          <w:lang w:val="en-GB" w:eastAsia="zh-CN"/>
        </w:rPr>
        <w:t>BeamFailureRecoveryConfig</w:t>
      </w:r>
      <w:r w:rsidRPr="00986B00">
        <w:rPr>
          <w:b/>
          <w:lang w:eastAsia="zh-CN"/>
        </w:rPr>
        <w:t xml:space="preserve"> is configured but no CBRA resource is configured (in </w:t>
      </w:r>
      <w:r w:rsidRPr="00986B00">
        <w:rPr>
          <w:b/>
          <w:i/>
          <w:iCs/>
          <w:lang w:eastAsia="zh-CN"/>
        </w:rPr>
        <w:t>RACH-ConfigCommon</w:t>
      </w:r>
      <w:r w:rsidRPr="00986B00">
        <w:rPr>
          <w:b/>
          <w:lang w:eastAsia="zh-CN"/>
        </w:rPr>
        <w:t>) switches to the initial BWP during the BFR-RA procedure if no candidate beam meets the RSRP threshold.</w:t>
      </w:r>
    </w:p>
    <w:p w:rsidR="00377F6F" w:rsidRDefault="003E2E11" w:rsidP="00624E54">
      <w:pPr>
        <w:pStyle w:val="Heading2"/>
        <w:keepNext w:val="0"/>
        <w:numPr>
          <w:ilvl w:val="1"/>
          <w:numId w:val="1"/>
        </w:numPr>
        <w:ind w:left="562" w:hanging="562"/>
      </w:pPr>
      <w:r>
        <w:t>BFR triggered in a</w:t>
      </w:r>
      <w:r w:rsidRPr="003E2E11">
        <w:t xml:space="preserve"> BFR-less UL BWP </w:t>
      </w:r>
      <w:r w:rsidR="00377F6F">
        <w:t xml:space="preserve"> </w:t>
      </w:r>
    </w:p>
    <w:p w:rsidR="007B1C03" w:rsidRDefault="003E2E11" w:rsidP="007B1C03">
      <w:pPr>
        <w:pStyle w:val="BodyText"/>
      </w:pPr>
      <w:r w:rsidRPr="003E2E11">
        <w:t xml:space="preserve">This is the opposite configuration to the previous one: </w:t>
      </w:r>
      <w:r>
        <w:t>Beam Failure Detection (</w:t>
      </w:r>
      <w:r w:rsidRPr="003E2E11">
        <w:t>BFD</w:t>
      </w:r>
      <w:r>
        <w:t>)</w:t>
      </w:r>
      <w:r w:rsidRPr="003E2E11">
        <w:t xml:space="preserve"> is configured in an UL </w:t>
      </w:r>
      <w:r w:rsidRPr="007B1C03">
        <w:t xml:space="preserve">BWP where no CFRA BFR resources are configured, but CBRA is configured. As shown in </w:t>
      </w:r>
      <w:fldSimple w:instr=" REF _Ref509824223 \h  \* MERGEFORMAT ">
        <w:r w:rsidR="007B1C03" w:rsidRPr="007B1C03">
          <w:t xml:space="preserve">Figure </w:t>
        </w:r>
        <w:r w:rsidR="007B1C03" w:rsidRPr="007B1C03">
          <w:rPr>
            <w:noProof/>
          </w:rPr>
          <w:t>2</w:t>
        </w:r>
      </w:fldSimple>
      <w:r w:rsidR="007B1C03" w:rsidRPr="007B1C03">
        <w:t xml:space="preserve"> </w:t>
      </w:r>
      <w:r w:rsidRPr="007B1C03">
        <w:t>this</w:t>
      </w:r>
      <w:r>
        <w:t xml:space="preserve"> configuration is also supported by the current ASN.1 </w:t>
      </w:r>
      <w:r w:rsidRPr="003E2E11">
        <w:t xml:space="preserve">since </w:t>
      </w:r>
      <w:r w:rsidRPr="003E2E11">
        <w:rPr>
          <w:i/>
          <w:iCs/>
          <w:lang w:val="en-GB"/>
        </w:rPr>
        <w:t>RadioLinkMonitoringConfig</w:t>
      </w:r>
      <w:r w:rsidRPr="003E2E11">
        <w:rPr>
          <w:lang w:val="en-GB"/>
        </w:rPr>
        <w:t xml:space="preserve"> </w:t>
      </w:r>
      <w:r w:rsidRPr="003E2E11">
        <w:t xml:space="preserve">and </w:t>
      </w:r>
      <w:r w:rsidRPr="003E2E11">
        <w:rPr>
          <w:i/>
          <w:iCs/>
          <w:lang w:val="en-GB"/>
        </w:rPr>
        <w:t xml:space="preserve">BeamFailureRecoveryConfig </w:t>
      </w:r>
      <w:r w:rsidR="00117206">
        <w:t>are independent IEs</w:t>
      </w:r>
      <w:r>
        <w:t>.</w:t>
      </w:r>
      <w:r w:rsidR="007B1C03" w:rsidRPr="007B1C03">
        <w:t xml:space="preserve"> </w:t>
      </w:r>
      <w:r w:rsidR="007B1C03" w:rsidRPr="00624E54">
        <w:t>This configuration also makes sense considering only one set of CFRA resources associated with the candidate beams for recovery can be shared across BWPs (same beam quality)</w:t>
      </w:r>
      <w:r w:rsidR="007B1C03">
        <w:t>. Thus, such configuration can come in support of a deployment where the operator prefers concentrating all dedicated BFR resources in the initial BWP to minimize BFR resource consumption at the expense of having UE switching BWP upon BFR triggered in an active BWP different from the initial BWP. Such configuration could make sense e.g. if more than 2 BWPs are supported in the UL carrier.</w:t>
      </w:r>
    </w:p>
    <w:p w:rsidR="00595B66" w:rsidRPr="007B1C03" w:rsidRDefault="00F277E4" w:rsidP="007B1C03">
      <w:pPr>
        <w:pStyle w:val="BodyText"/>
        <w:rPr>
          <w:b/>
        </w:rPr>
      </w:pPr>
      <w:r w:rsidRPr="007B1C03">
        <w:rPr>
          <w:b/>
        </w:rPr>
        <w:t>Observation 4: It is beneficial from configuration flexibility and resource efficiency perspective to support configuring CFRA BFR resources in the initial BWP only with regular CBRA resources in an active BWP different from the initial BWP.</w:t>
      </w:r>
    </w:p>
    <w:p w:rsidR="00595B66" w:rsidRPr="007B1C03" w:rsidRDefault="00F277E4" w:rsidP="007B1C03">
      <w:pPr>
        <w:pStyle w:val="BodyText"/>
        <w:rPr>
          <w:b/>
        </w:rPr>
      </w:pPr>
      <w:r w:rsidRPr="007B1C03">
        <w:rPr>
          <w:b/>
        </w:rPr>
        <w:t>Observation 5: Current ASN.1 already allows supporting the above configuration.</w:t>
      </w:r>
    </w:p>
    <w:p w:rsidR="003E2E11" w:rsidRDefault="00624E54" w:rsidP="003E2E11">
      <w:pPr>
        <w:pStyle w:val="BodyText"/>
        <w:keepNext/>
        <w:keepLines/>
      </w:pPr>
      <w:r>
        <w:object w:dxaOrig="15894" w:dyaOrig="8175">
          <v:shape id="_x0000_i1026" type="#_x0000_t75" style="width:464.75pt;height:239.3pt" o:ole="">
            <v:imagedata r:id="rId10" o:title=""/>
          </v:shape>
          <o:OLEObject Type="Embed" ProgID="Visio.Drawing.11" ShapeID="_x0000_i1026" DrawAspect="Content" ObjectID="_1584449438" r:id="rId11"/>
        </w:object>
      </w:r>
    </w:p>
    <w:p w:rsidR="003E2E11" w:rsidRDefault="003E2E11" w:rsidP="003E2E11">
      <w:pPr>
        <w:pStyle w:val="Caption"/>
        <w:keepNext/>
        <w:keepLines/>
        <w:spacing w:before="50"/>
        <w:jc w:val="center"/>
        <w:rPr>
          <w:b/>
        </w:rPr>
      </w:pPr>
      <w:bookmarkStart w:id="6" w:name="_Ref509824223"/>
      <w:r w:rsidRPr="00F323A2">
        <w:rPr>
          <w:b/>
        </w:rPr>
        <w:t xml:space="preserve">Figure </w:t>
      </w:r>
      <w:r w:rsidR="00595B66" w:rsidRPr="00F323A2">
        <w:rPr>
          <w:b/>
        </w:rPr>
        <w:fldChar w:fldCharType="begin"/>
      </w:r>
      <w:r w:rsidRPr="00F323A2">
        <w:rPr>
          <w:b/>
        </w:rPr>
        <w:instrText xml:space="preserve"> SEQ Figure \* ARABIC </w:instrText>
      </w:r>
      <w:r w:rsidR="00595B66" w:rsidRPr="00F323A2">
        <w:rPr>
          <w:b/>
        </w:rPr>
        <w:fldChar w:fldCharType="separate"/>
      </w:r>
      <w:r w:rsidR="00624E54">
        <w:rPr>
          <w:b/>
          <w:noProof/>
        </w:rPr>
        <w:t>2</w:t>
      </w:r>
      <w:r w:rsidR="00595B66" w:rsidRPr="00F323A2">
        <w:rPr>
          <w:b/>
        </w:rPr>
        <w:fldChar w:fldCharType="end"/>
      </w:r>
      <w:bookmarkEnd w:id="6"/>
      <w:r w:rsidRPr="00F323A2">
        <w:rPr>
          <w:b/>
        </w:rPr>
        <w:t xml:space="preserve">: </w:t>
      </w:r>
      <w:r w:rsidR="00624E54" w:rsidRPr="00624E54">
        <w:rPr>
          <w:b/>
        </w:rPr>
        <w:t>BFR triggered in a BFR-less UL BWP</w:t>
      </w:r>
    </w:p>
    <w:p w:rsidR="007B1C03" w:rsidRDefault="007B1C03" w:rsidP="00FA768F">
      <w:pPr>
        <w:jc w:val="both"/>
      </w:pPr>
      <w:r w:rsidRPr="007B1C03">
        <w:t xml:space="preserve">But here again, the </w:t>
      </w:r>
      <w:r>
        <w:t>above</w:t>
      </w:r>
      <w:r w:rsidRPr="007B1C03">
        <w:t xml:space="preserve"> agreement #8 would always force the UE to immediately fallback to CBRA </w:t>
      </w:r>
      <w:r w:rsidRPr="007B1C03">
        <w:rPr>
          <w:i/>
        </w:rPr>
        <w:t>in the active BWP</w:t>
      </w:r>
      <w:r w:rsidRPr="007B1C03">
        <w:t xml:space="preserve"> although CFRA resources are available in the initial BWP. </w:t>
      </w:r>
      <w:r>
        <w:t xml:space="preserve">We believe that should not be the </w:t>
      </w:r>
      <w:r w:rsidRPr="007B1C03">
        <w:t>desired behavior</w:t>
      </w:r>
      <w:r w:rsidR="00FA768F">
        <w:t xml:space="preserve"> in such configuration since the use of CFRA resources for BFR should always be prioritized </w:t>
      </w:r>
      <w:r w:rsidR="00D41BDB">
        <w:t>over</w:t>
      </w:r>
      <w:r w:rsidR="00FA768F">
        <w:t xml:space="preserve"> CBRA resources.</w:t>
      </w:r>
    </w:p>
    <w:p w:rsidR="00595B66" w:rsidRPr="00FA768F" w:rsidRDefault="00F277E4" w:rsidP="00FA768F">
      <w:pPr>
        <w:pStyle w:val="BodyText"/>
        <w:spacing w:before="120"/>
        <w:rPr>
          <w:b/>
        </w:rPr>
      </w:pPr>
      <w:r w:rsidRPr="00FA768F">
        <w:rPr>
          <w:b/>
        </w:rPr>
        <w:t xml:space="preserve">Observation 6: RAN2#101 meeting agreement #8 </w:t>
      </w:r>
      <w:r w:rsidR="00D41BDB">
        <w:rPr>
          <w:b/>
        </w:rPr>
        <w:t xml:space="preserve">on BFR </w:t>
      </w:r>
      <w:r w:rsidRPr="00FA768F">
        <w:rPr>
          <w:b/>
        </w:rPr>
        <w:t xml:space="preserve">is not sufficient to support the above configuration. </w:t>
      </w:r>
    </w:p>
    <w:p w:rsidR="00FA768F" w:rsidRDefault="003C5F7F" w:rsidP="00FA768F">
      <w:pPr>
        <w:pStyle w:val="BodyText"/>
        <w:rPr>
          <w:b/>
        </w:rPr>
      </w:pPr>
      <w:r>
        <w:rPr>
          <w:b/>
        </w:rPr>
        <w:t>Proposal 4</w:t>
      </w:r>
      <w:r w:rsidR="00FA768F" w:rsidRPr="00FA768F">
        <w:rPr>
          <w:b/>
        </w:rPr>
        <w:t>: The BFR procedure should support fallback options in support of con</w:t>
      </w:r>
      <w:r w:rsidR="00FA768F">
        <w:rPr>
          <w:b/>
        </w:rPr>
        <w:t xml:space="preserve">figurations where CBRA-only </w:t>
      </w:r>
      <w:r w:rsidR="00FA768F" w:rsidRPr="00FA768F">
        <w:rPr>
          <w:b/>
        </w:rPr>
        <w:t>resources are configured in an active BWP different from the initial BWP and CFRA BFR resources are configured in the initial BWP.</w:t>
      </w:r>
    </w:p>
    <w:p w:rsidR="003C5F7F" w:rsidRPr="003C5F7F" w:rsidRDefault="003C5F7F" w:rsidP="00FA768F">
      <w:pPr>
        <w:pStyle w:val="BodyText"/>
      </w:pPr>
      <w:r w:rsidRPr="003C5F7F">
        <w:lastRenderedPageBreak/>
        <w:t xml:space="preserve">The proposed adjustment </w:t>
      </w:r>
      <w:r>
        <w:t xml:space="preserve">to agreement #8 in support of this configuration consists in clarifying that a UE shall </w:t>
      </w:r>
      <w:r w:rsidRPr="003C5F7F">
        <w:t>switch to the initial BWP upon BFR triggered in an active BWP different from the initial BWP, and whe</w:t>
      </w:r>
      <w:r w:rsidR="008D28E5">
        <w:t>n</w:t>
      </w:r>
      <w:r w:rsidRPr="003C5F7F">
        <w:t xml:space="preserve"> </w:t>
      </w:r>
      <w:r w:rsidRPr="003C5F7F">
        <w:rPr>
          <w:bCs/>
          <w:i/>
          <w:iCs/>
          <w:lang w:val="en-GB"/>
        </w:rPr>
        <w:t>BeamFailureRecoveryConfig</w:t>
      </w:r>
      <w:r>
        <w:rPr>
          <w:bCs/>
          <w:i/>
          <w:iCs/>
          <w:lang w:val="en-GB"/>
        </w:rPr>
        <w:t xml:space="preserve"> </w:t>
      </w:r>
      <w:r>
        <w:rPr>
          <w:bCs/>
          <w:iCs/>
          <w:lang w:val="en-GB"/>
        </w:rPr>
        <w:t>IE is configured in the initial BWP but not in the active BWP.</w:t>
      </w:r>
    </w:p>
    <w:p w:rsidR="003C5F7F" w:rsidRPr="00FA768F" w:rsidRDefault="003C5F7F" w:rsidP="00FA768F">
      <w:pPr>
        <w:pStyle w:val="BodyText"/>
        <w:rPr>
          <w:b/>
        </w:rPr>
      </w:pPr>
      <w:r w:rsidRPr="003C5F7F">
        <w:rPr>
          <w:b/>
        </w:rPr>
        <w:t xml:space="preserve">Proposal 5: Upon BFR trigger, a UE in an active BWP where </w:t>
      </w:r>
      <w:r w:rsidRPr="003C5F7F">
        <w:rPr>
          <w:b/>
          <w:i/>
          <w:iCs/>
          <w:lang w:val="en-GB"/>
        </w:rPr>
        <w:t>BeamFailureRecoveryConfig</w:t>
      </w:r>
      <w:r w:rsidRPr="003C5F7F">
        <w:rPr>
          <w:b/>
        </w:rPr>
        <w:t xml:space="preserve"> is not configured switches to the initial BWP where it initiates BFR-RA if </w:t>
      </w:r>
      <w:r w:rsidRPr="003C5F7F">
        <w:rPr>
          <w:b/>
          <w:i/>
          <w:iCs/>
          <w:lang w:val="en-GB"/>
        </w:rPr>
        <w:t>BeamFailureRecoveryConfig</w:t>
      </w:r>
      <w:r w:rsidRPr="003C5F7F">
        <w:rPr>
          <w:b/>
          <w:lang w:val="en-GB"/>
        </w:rPr>
        <w:t xml:space="preserve"> </w:t>
      </w:r>
      <w:r w:rsidRPr="003C5F7F">
        <w:rPr>
          <w:b/>
        </w:rPr>
        <w:t>is configured in the initial BWP</w:t>
      </w:r>
      <w:r>
        <w:rPr>
          <w:b/>
        </w:rPr>
        <w:t>.</w:t>
      </w:r>
    </w:p>
    <w:p w:rsidR="002C6318" w:rsidRDefault="002C6318" w:rsidP="0065235A">
      <w:pPr>
        <w:pStyle w:val="Heading1"/>
        <w:spacing w:before="240"/>
        <w:jc w:val="both"/>
      </w:pPr>
      <w:r>
        <w:t>Conclusion</w:t>
      </w:r>
    </w:p>
    <w:p w:rsidR="003C5F7F" w:rsidRDefault="00133429" w:rsidP="00DD7FC7">
      <w:pPr>
        <w:pStyle w:val="BodyText"/>
        <w:rPr>
          <w:rFonts w:eastAsia="宋体"/>
          <w:szCs w:val="20"/>
          <w:lang w:eastAsia="zh-CN"/>
        </w:rPr>
      </w:pPr>
      <w:r>
        <w:rPr>
          <w:rFonts w:eastAsia="宋体"/>
          <w:lang w:val="en-GB" w:eastAsia="zh-CN"/>
        </w:rPr>
        <w:t xml:space="preserve">In this contribution we </w:t>
      </w:r>
      <w:r w:rsidR="00932107">
        <w:rPr>
          <w:rFonts w:eastAsia="宋体"/>
          <w:lang w:val="en-GB" w:eastAsia="zh-CN"/>
        </w:rPr>
        <w:t xml:space="preserve">suggest </w:t>
      </w:r>
      <w:r w:rsidR="00932107">
        <w:rPr>
          <w:rFonts w:eastAsia="宋体"/>
          <w:szCs w:val="20"/>
          <w:lang w:eastAsia="zh-CN"/>
        </w:rPr>
        <w:t xml:space="preserve">some </w:t>
      </w:r>
      <w:r w:rsidR="003C5F7F">
        <w:rPr>
          <w:rFonts w:eastAsia="宋体"/>
          <w:szCs w:val="20"/>
          <w:lang w:eastAsia="zh-CN"/>
        </w:rPr>
        <w:t>adjustments to the RAN2#101 meeting agreement #8 on fallback options in order to properly support some meaningful and ASN.1-compatible configurations where CFRA-BFR and CBRA resources are not configured together in the same BWP. The resulting observations and proposals are as follows</w:t>
      </w:r>
      <w:r w:rsidR="008D28E5">
        <w:rPr>
          <w:rFonts w:eastAsia="宋体"/>
          <w:szCs w:val="20"/>
          <w:lang w:eastAsia="zh-CN"/>
        </w:rPr>
        <w:t xml:space="preserve">. The corresponding changes to the MAC specification are addressed in </w:t>
      </w:r>
      <w:r w:rsidR="008D28E5">
        <w:rPr>
          <w:lang w:eastAsia="zh-CN"/>
        </w:rPr>
        <w:t xml:space="preserve">our proposed CR capturing all BFR-related corrections </w:t>
      </w:r>
      <w:r w:rsidR="008D28E5">
        <w:rPr>
          <w:lang w:eastAsia="zh-CN"/>
        </w:rPr>
        <w:fldChar w:fldCharType="begin"/>
      </w:r>
      <w:r w:rsidR="008D28E5">
        <w:rPr>
          <w:lang w:eastAsia="zh-CN"/>
        </w:rPr>
        <w:instrText xml:space="preserve"> REF _Ref510701772 \h </w:instrText>
      </w:r>
      <w:r w:rsidR="008D28E5">
        <w:rPr>
          <w:lang w:eastAsia="zh-CN"/>
        </w:rPr>
      </w:r>
      <w:r w:rsidR="008D28E5">
        <w:rPr>
          <w:lang w:eastAsia="zh-CN"/>
        </w:rPr>
        <w:fldChar w:fldCharType="separate"/>
      </w:r>
      <w:r w:rsidR="008D28E5">
        <w:t>[</w:t>
      </w:r>
      <w:r w:rsidR="008D28E5">
        <w:rPr>
          <w:noProof/>
        </w:rPr>
        <w:t>3</w:t>
      </w:r>
      <w:r w:rsidR="008D28E5">
        <w:rPr>
          <w:lang w:eastAsia="zh-CN"/>
        </w:rPr>
        <w:fldChar w:fldCharType="end"/>
      </w:r>
      <w:r w:rsidR="008D28E5">
        <w:rPr>
          <w:lang w:eastAsia="zh-CN"/>
        </w:rPr>
        <w:t>].</w:t>
      </w:r>
    </w:p>
    <w:p w:rsidR="008F132F" w:rsidRDefault="008F132F" w:rsidP="008F132F">
      <w:pPr>
        <w:pStyle w:val="BodyText"/>
        <w:rPr>
          <w:b/>
          <w:lang w:eastAsia="zh-CN"/>
        </w:rPr>
      </w:pPr>
      <w:r w:rsidRPr="00B9771B">
        <w:rPr>
          <w:b/>
          <w:lang w:eastAsia="zh-CN"/>
        </w:rPr>
        <w:t>Observation 1: It is beneficial from configuration flexibility and resource efficiency perspective to support configuring CFRA-only BFR resources without CBRA resources in an active BWP different from the initial BWP.</w:t>
      </w:r>
    </w:p>
    <w:p w:rsidR="008F132F" w:rsidRPr="003E2E11" w:rsidRDefault="008F132F" w:rsidP="008F132F">
      <w:pPr>
        <w:pStyle w:val="BodyText"/>
        <w:rPr>
          <w:b/>
          <w:lang w:eastAsia="zh-CN"/>
        </w:rPr>
      </w:pPr>
      <w:r w:rsidRPr="003E2E11">
        <w:rPr>
          <w:b/>
          <w:lang w:eastAsia="zh-CN"/>
        </w:rPr>
        <w:t>Observation 2: Current ASN.1 already allows supporting the above configuration.</w:t>
      </w:r>
    </w:p>
    <w:p w:rsidR="008F132F" w:rsidRPr="003E2E11" w:rsidRDefault="008F132F" w:rsidP="008F132F">
      <w:pPr>
        <w:pStyle w:val="BodyText"/>
        <w:rPr>
          <w:b/>
          <w:lang w:eastAsia="zh-CN"/>
        </w:rPr>
      </w:pPr>
      <w:r w:rsidRPr="003E2E11">
        <w:rPr>
          <w:b/>
          <w:lang w:eastAsia="zh-CN"/>
        </w:rPr>
        <w:t xml:space="preserve">Observation 3: RAN2#101 meeting agreement #8 is not sufficient to support the above configuration. </w:t>
      </w:r>
    </w:p>
    <w:p w:rsidR="008F132F" w:rsidRDefault="008F132F" w:rsidP="008F132F">
      <w:pPr>
        <w:pStyle w:val="BodyText"/>
        <w:rPr>
          <w:b/>
          <w:lang w:eastAsia="zh-CN"/>
        </w:rPr>
      </w:pPr>
      <w:r w:rsidRPr="003E2E11">
        <w:rPr>
          <w:b/>
          <w:lang w:eastAsia="zh-CN"/>
        </w:rPr>
        <w:t xml:space="preserve">Proposal 1: The BFR procedure should support fallback options in support of configurations where CFRA-only BFR resources are configured in an active BWP different from the initial BWP. </w:t>
      </w:r>
    </w:p>
    <w:p w:rsidR="008F132F" w:rsidRPr="00990CAA" w:rsidRDefault="008F132F" w:rsidP="008F132F">
      <w:pPr>
        <w:pStyle w:val="BodyText"/>
        <w:rPr>
          <w:b/>
          <w:bCs/>
        </w:rPr>
      </w:pPr>
      <w:r>
        <w:rPr>
          <w:b/>
          <w:bCs/>
        </w:rPr>
        <w:t>Proposal 2</w:t>
      </w:r>
      <w:r w:rsidRPr="00990CAA">
        <w:rPr>
          <w:b/>
          <w:bCs/>
        </w:rPr>
        <w:t xml:space="preserve">: Upon BFR trigger, a UE in an active BWP where </w:t>
      </w:r>
      <w:r w:rsidRPr="00990CAA">
        <w:rPr>
          <w:b/>
          <w:bCs/>
          <w:i/>
          <w:iCs/>
          <w:lang w:val="en-GB"/>
        </w:rPr>
        <w:t>BeamFailureRecoveryConfig</w:t>
      </w:r>
      <w:r w:rsidRPr="00990CAA">
        <w:rPr>
          <w:b/>
          <w:bCs/>
        </w:rPr>
        <w:t xml:space="preserve"> is configured initiates BFR-RA</w:t>
      </w:r>
      <w:r>
        <w:rPr>
          <w:b/>
          <w:bCs/>
        </w:rPr>
        <w:t xml:space="preserve"> in this BWP</w:t>
      </w:r>
      <w:r w:rsidRPr="00990CAA">
        <w:rPr>
          <w:b/>
          <w:bCs/>
        </w:rPr>
        <w:t>.</w:t>
      </w:r>
    </w:p>
    <w:p w:rsidR="008F132F" w:rsidRPr="00986B00" w:rsidRDefault="008F132F" w:rsidP="008F132F">
      <w:pPr>
        <w:pStyle w:val="BodyText"/>
        <w:rPr>
          <w:b/>
          <w:lang w:eastAsia="zh-CN"/>
        </w:rPr>
      </w:pPr>
      <w:r w:rsidRPr="00986B00">
        <w:rPr>
          <w:b/>
          <w:lang w:eastAsia="zh-CN"/>
        </w:rPr>
        <w:t xml:space="preserve">Proposal 3: A UE in an active BWP where </w:t>
      </w:r>
      <w:r w:rsidRPr="00986B00">
        <w:rPr>
          <w:b/>
          <w:i/>
          <w:iCs/>
          <w:lang w:val="en-GB" w:eastAsia="zh-CN"/>
        </w:rPr>
        <w:t>BeamFailureRecoveryConfig</w:t>
      </w:r>
      <w:r w:rsidRPr="00986B00">
        <w:rPr>
          <w:b/>
          <w:lang w:eastAsia="zh-CN"/>
        </w:rPr>
        <w:t xml:space="preserve"> is configured but no CBRA resource is configured (in </w:t>
      </w:r>
      <w:r w:rsidRPr="00986B00">
        <w:rPr>
          <w:b/>
          <w:i/>
          <w:iCs/>
          <w:lang w:eastAsia="zh-CN"/>
        </w:rPr>
        <w:t>RACH-ConfigCommon</w:t>
      </w:r>
      <w:r w:rsidRPr="00986B00">
        <w:rPr>
          <w:b/>
          <w:lang w:eastAsia="zh-CN"/>
        </w:rPr>
        <w:t>) switches to the initial BWP during the BFR-RA procedure if no candidate beam meets the RSRP threshold.</w:t>
      </w:r>
    </w:p>
    <w:p w:rsidR="008F132F" w:rsidRPr="007B1C03" w:rsidRDefault="008F132F" w:rsidP="008F132F">
      <w:pPr>
        <w:pStyle w:val="BodyText"/>
        <w:rPr>
          <w:b/>
        </w:rPr>
      </w:pPr>
      <w:r w:rsidRPr="007B1C03">
        <w:rPr>
          <w:b/>
        </w:rPr>
        <w:t>Observation 4: It is beneficial from configuration flexibility and resource efficiency perspective to support configuring CFRA BFR resources in the initial BWP only with regular CBRA resources in an active BWP different from the initial BWP.</w:t>
      </w:r>
    </w:p>
    <w:p w:rsidR="008F132F" w:rsidRPr="007B1C03" w:rsidRDefault="008F132F" w:rsidP="008F132F">
      <w:pPr>
        <w:pStyle w:val="BodyText"/>
        <w:rPr>
          <w:b/>
        </w:rPr>
      </w:pPr>
      <w:r w:rsidRPr="007B1C03">
        <w:rPr>
          <w:b/>
        </w:rPr>
        <w:t>Observation 5: Current ASN.1 already allows supporting the above configuration.</w:t>
      </w:r>
    </w:p>
    <w:p w:rsidR="008F132F" w:rsidRPr="00FA768F" w:rsidRDefault="008F132F" w:rsidP="008F132F">
      <w:pPr>
        <w:pStyle w:val="BodyText"/>
        <w:spacing w:before="120"/>
        <w:rPr>
          <w:b/>
        </w:rPr>
      </w:pPr>
      <w:r w:rsidRPr="00FA768F">
        <w:rPr>
          <w:b/>
        </w:rPr>
        <w:t xml:space="preserve">Observation 6: RAN2#101 meeting agreement #8 is not sufficient to support the above configuration. </w:t>
      </w:r>
    </w:p>
    <w:p w:rsidR="008F132F" w:rsidRDefault="008F132F" w:rsidP="008F132F">
      <w:pPr>
        <w:pStyle w:val="BodyText"/>
        <w:rPr>
          <w:b/>
        </w:rPr>
      </w:pPr>
      <w:r>
        <w:rPr>
          <w:b/>
        </w:rPr>
        <w:t>Proposal 4</w:t>
      </w:r>
      <w:r w:rsidRPr="00FA768F">
        <w:rPr>
          <w:b/>
        </w:rPr>
        <w:t>: The BFR procedure should support fallback options in support of con</w:t>
      </w:r>
      <w:r>
        <w:rPr>
          <w:b/>
        </w:rPr>
        <w:t xml:space="preserve">figurations where CBRA-only </w:t>
      </w:r>
      <w:r w:rsidRPr="00FA768F">
        <w:rPr>
          <w:b/>
        </w:rPr>
        <w:t>resources are configured in an active BWP different from the initial BWP and CFRA BFR resources are configured in the initial BWP.</w:t>
      </w:r>
    </w:p>
    <w:p w:rsidR="008F132F" w:rsidRPr="008F132F" w:rsidRDefault="008F132F" w:rsidP="00DD7FC7">
      <w:pPr>
        <w:pStyle w:val="BodyText"/>
        <w:rPr>
          <w:b/>
        </w:rPr>
      </w:pPr>
      <w:r w:rsidRPr="003C5F7F">
        <w:rPr>
          <w:b/>
        </w:rPr>
        <w:t xml:space="preserve">Proposal 5: Upon BFR trigger, a UE in an active BWP where </w:t>
      </w:r>
      <w:r w:rsidRPr="003C5F7F">
        <w:rPr>
          <w:b/>
          <w:i/>
          <w:iCs/>
          <w:lang w:val="en-GB"/>
        </w:rPr>
        <w:t>BeamFailureRecoveryConfig</w:t>
      </w:r>
      <w:r w:rsidRPr="003C5F7F">
        <w:rPr>
          <w:b/>
        </w:rPr>
        <w:t xml:space="preserve"> is not configured switches to the initial BWP where it initiates BFR-RA if </w:t>
      </w:r>
      <w:r w:rsidRPr="003C5F7F">
        <w:rPr>
          <w:b/>
          <w:i/>
          <w:iCs/>
          <w:lang w:val="en-GB"/>
        </w:rPr>
        <w:t>BeamFailureRecoveryConfig</w:t>
      </w:r>
      <w:r w:rsidRPr="003C5F7F">
        <w:rPr>
          <w:b/>
          <w:lang w:val="en-GB"/>
        </w:rPr>
        <w:t xml:space="preserve"> </w:t>
      </w:r>
      <w:r w:rsidRPr="003C5F7F">
        <w:rPr>
          <w:b/>
        </w:rPr>
        <w:t>is configured in the initial BWP</w:t>
      </w:r>
      <w:r>
        <w:rPr>
          <w:b/>
        </w:rPr>
        <w:t>.</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7" w:name="_Ref484943431"/>
      <w:r>
        <w:t>[</w:t>
      </w:r>
      <w:fldSimple w:instr=" SEQ [ \* ARABIC ">
        <w:r>
          <w:t>1</w:t>
        </w:r>
      </w:fldSimple>
      <w:bookmarkStart w:id="8" w:name="_Ref484876858"/>
      <w:bookmarkEnd w:id="7"/>
      <w:r>
        <w:t xml:space="preserve">] </w:t>
      </w:r>
      <w:r w:rsidRPr="00DA7BE0">
        <w:rPr>
          <w:rFonts w:cs="Arial"/>
          <w:lang w:val="en-US"/>
        </w:rPr>
        <w:t>R2-180</w:t>
      </w:r>
      <w:r w:rsidR="00E25877">
        <w:rPr>
          <w:rFonts w:cs="Arial"/>
          <w:lang w:val="en-US"/>
        </w:rPr>
        <w:t>3828</w:t>
      </w:r>
      <w:r>
        <w:rPr>
          <w:rFonts w:cs="Arial"/>
          <w:lang w:val="en-US"/>
        </w:rPr>
        <w:t xml:space="preserve"> </w:t>
      </w:r>
      <w:r w:rsidR="001A457F">
        <w:rPr>
          <w:rFonts w:cs="Arial"/>
          <w:lang w:val="en-US"/>
        </w:rPr>
        <w:t xml:space="preserve">38.331 CR 8, </w:t>
      </w:r>
      <w:r>
        <w:rPr>
          <w:rFonts w:cs="Arial"/>
          <w:lang w:val="en-US"/>
        </w:rPr>
        <w:t>“</w:t>
      </w:r>
      <w:r w:rsidR="001A457F">
        <w:rPr>
          <w:rFonts w:cs="Arial"/>
          <w:lang w:val="en-US"/>
        </w:rPr>
        <w:t>Corrections to EN-DC” Rapporteur (Ericsson)</w:t>
      </w:r>
      <w:bookmarkEnd w:id="8"/>
    </w:p>
    <w:p w:rsidR="005F5862" w:rsidRDefault="00600AD4" w:rsidP="00932107">
      <w:pPr>
        <w:pStyle w:val="Caption"/>
        <w:rPr>
          <w:rFonts w:cs="Arial"/>
          <w:lang w:val="en-US"/>
        </w:rPr>
      </w:pPr>
      <w:bookmarkStart w:id="9" w:name="_Ref506212295"/>
      <w:r>
        <w:t>[</w:t>
      </w:r>
      <w:fldSimple w:instr=" SEQ [ \* ARABIC ">
        <w:r>
          <w:rPr>
            <w:noProof/>
          </w:rPr>
          <w:t>2</w:t>
        </w:r>
      </w:fldSimple>
      <w:bookmarkEnd w:id="9"/>
      <w:r>
        <w:t xml:space="preserve">] </w:t>
      </w:r>
      <w:r w:rsidRPr="00DA7BE0">
        <w:rPr>
          <w:rFonts w:cs="Arial"/>
          <w:lang w:val="en-US"/>
        </w:rPr>
        <w:t>R2-180</w:t>
      </w:r>
      <w:r w:rsidR="001A457F">
        <w:rPr>
          <w:rFonts w:cs="Arial"/>
          <w:lang w:val="en-US"/>
        </w:rPr>
        <w:t>3854</w:t>
      </w:r>
      <w:r>
        <w:rPr>
          <w:rFonts w:cs="Arial"/>
          <w:lang w:val="en-US"/>
        </w:rPr>
        <w:t xml:space="preserve"> </w:t>
      </w:r>
      <w:r w:rsidR="001A457F">
        <w:rPr>
          <w:rFonts w:cs="Arial"/>
          <w:lang w:val="en-US"/>
        </w:rPr>
        <w:t xml:space="preserve">38.321 CR 39, </w:t>
      </w:r>
      <w:r>
        <w:rPr>
          <w:rFonts w:cs="Arial"/>
          <w:lang w:val="en-US"/>
        </w:rPr>
        <w:t>“</w:t>
      </w:r>
      <w:r w:rsidR="001A457F">
        <w:rPr>
          <w:rFonts w:cs="Arial"/>
          <w:lang w:val="en-US"/>
        </w:rPr>
        <w:t>General corrections on TS 38.321” Rapporteur (Samsung)</w:t>
      </w:r>
    </w:p>
    <w:p w:rsidR="007E17E2" w:rsidRPr="00AD29FC" w:rsidRDefault="008D28E5" w:rsidP="00AD29FC">
      <w:pPr>
        <w:pStyle w:val="Caption"/>
        <w:rPr>
          <w:rFonts w:cs="Arial"/>
          <w:lang w:val="en-US"/>
        </w:rPr>
      </w:pPr>
      <w:bookmarkStart w:id="10" w:name="_Ref510701772"/>
      <w:r>
        <w:t>[</w:t>
      </w:r>
      <w:fldSimple w:instr=" SEQ [ \* ARABIC ">
        <w:r>
          <w:rPr>
            <w:noProof/>
          </w:rPr>
          <w:t>3</w:t>
        </w:r>
      </w:fldSimple>
      <w:bookmarkEnd w:id="10"/>
      <w:r>
        <w:t xml:space="preserve">] </w:t>
      </w:r>
      <w:r w:rsidRPr="00DA7BE0">
        <w:rPr>
          <w:rFonts w:cs="Arial"/>
          <w:lang w:val="en-US"/>
        </w:rPr>
        <w:t>R2-180</w:t>
      </w:r>
      <w:r>
        <w:rPr>
          <w:rFonts w:cs="Arial"/>
          <w:lang w:val="en-US"/>
        </w:rPr>
        <w:t>4514 38.321 CR 50 “Corrections for BFR support” CATT</w:t>
      </w:r>
    </w:p>
    <w:sectPr w:rsidR="007E17E2" w:rsidRPr="00AD29FC" w:rsidSect="004E4139">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993" w:rsidRDefault="00340993">
      <w:r>
        <w:separator/>
      </w:r>
    </w:p>
  </w:endnote>
  <w:endnote w:type="continuationSeparator" w:id="0">
    <w:p w:rsidR="00340993" w:rsidRDefault="003409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595B66"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595B66"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AD29FC">
      <w:rPr>
        <w:rStyle w:val="PageNumber"/>
        <w:noProof/>
      </w:rPr>
      <w:t>1</w:t>
    </w:r>
    <w:r>
      <w:rPr>
        <w:rStyle w:val="PageNumber"/>
      </w:rPr>
      <w:fldChar w:fldCharType="end"/>
    </w:r>
  </w:p>
  <w:p w:rsidR="003E45C6" w:rsidRPr="00977F1F" w:rsidRDefault="003E45C6" w:rsidP="00D2528A">
    <w:pPr>
      <w:pStyle w:val="Footer"/>
      <w:tabs>
        <w:tab w:val="left" w:pos="2552"/>
      </w:tabs>
      <w:rPr>
        <w:rFonts w:eastAsia="宋体"/>
        <w:lang w:eastAsia="zh-CN"/>
      </w:rPr>
    </w:pPr>
    <w:r w:rsidRPr="00D2528A">
      <w:rPr>
        <w:rFonts w:eastAsia="宋体"/>
        <w:lang w:eastAsia="zh-CN"/>
      </w:rPr>
      <w:t>R2-1</w:t>
    </w:r>
    <w:r w:rsidR="00960D9A">
      <w:rPr>
        <w:rFonts w:eastAsia="宋体"/>
        <w:lang w:eastAsia="zh-CN"/>
      </w:rPr>
      <w:t>804482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993" w:rsidRDefault="00340993">
      <w:r>
        <w:separator/>
      </w:r>
    </w:p>
  </w:footnote>
  <w:footnote w:type="continuationSeparator" w:id="0">
    <w:p w:rsidR="00340993" w:rsidRDefault="00340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3E45C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D632F5"/>
    <w:multiLevelType w:val="hybridMultilevel"/>
    <w:tmpl w:val="20441156"/>
    <w:lvl w:ilvl="0" w:tplc="E376A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A018E"/>
    <w:multiLevelType w:val="hybridMultilevel"/>
    <w:tmpl w:val="8E10A654"/>
    <w:lvl w:ilvl="0" w:tplc="6256F58C">
      <w:start w:val="1"/>
      <w:numFmt w:val="bullet"/>
      <w:lvlText w:val="•"/>
      <w:lvlJc w:val="left"/>
      <w:pPr>
        <w:tabs>
          <w:tab w:val="num" w:pos="360"/>
        </w:tabs>
        <w:ind w:left="360" w:hanging="360"/>
      </w:pPr>
      <w:rPr>
        <w:rFonts w:ascii="Arial" w:hAnsi="Arial" w:hint="default"/>
      </w:rPr>
    </w:lvl>
    <w:lvl w:ilvl="1" w:tplc="9A681854" w:tentative="1">
      <w:start w:val="1"/>
      <w:numFmt w:val="bullet"/>
      <w:lvlText w:val="•"/>
      <w:lvlJc w:val="left"/>
      <w:pPr>
        <w:tabs>
          <w:tab w:val="num" w:pos="1080"/>
        </w:tabs>
        <w:ind w:left="1080" w:hanging="360"/>
      </w:pPr>
      <w:rPr>
        <w:rFonts w:ascii="Arial" w:hAnsi="Arial" w:hint="default"/>
      </w:rPr>
    </w:lvl>
    <w:lvl w:ilvl="2" w:tplc="A12E1448" w:tentative="1">
      <w:start w:val="1"/>
      <w:numFmt w:val="bullet"/>
      <w:lvlText w:val="•"/>
      <w:lvlJc w:val="left"/>
      <w:pPr>
        <w:tabs>
          <w:tab w:val="num" w:pos="1800"/>
        </w:tabs>
        <w:ind w:left="1800" w:hanging="360"/>
      </w:pPr>
      <w:rPr>
        <w:rFonts w:ascii="Arial" w:hAnsi="Arial" w:hint="default"/>
      </w:rPr>
    </w:lvl>
    <w:lvl w:ilvl="3" w:tplc="79E010D0" w:tentative="1">
      <w:start w:val="1"/>
      <w:numFmt w:val="bullet"/>
      <w:lvlText w:val="•"/>
      <w:lvlJc w:val="left"/>
      <w:pPr>
        <w:tabs>
          <w:tab w:val="num" w:pos="2520"/>
        </w:tabs>
        <w:ind w:left="2520" w:hanging="360"/>
      </w:pPr>
      <w:rPr>
        <w:rFonts w:ascii="Arial" w:hAnsi="Arial" w:hint="default"/>
      </w:rPr>
    </w:lvl>
    <w:lvl w:ilvl="4" w:tplc="382C40B4" w:tentative="1">
      <w:start w:val="1"/>
      <w:numFmt w:val="bullet"/>
      <w:lvlText w:val="•"/>
      <w:lvlJc w:val="left"/>
      <w:pPr>
        <w:tabs>
          <w:tab w:val="num" w:pos="3240"/>
        </w:tabs>
        <w:ind w:left="3240" w:hanging="360"/>
      </w:pPr>
      <w:rPr>
        <w:rFonts w:ascii="Arial" w:hAnsi="Arial" w:hint="default"/>
      </w:rPr>
    </w:lvl>
    <w:lvl w:ilvl="5" w:tplc="B360090E" w:tentative="1">
      <w:start w:val="1"/>
      <w:numFmt w:val="bullet"/>
      <w:lvlText w:val="•"/>
      <w:lvlJc w:val="left"/>
      <w:pPr>
        <w:tabs>
          <w:tab w:val="num" w:pos="3960"/>
        </w:tabs>
        <w:ind w:left="3960" w:hanging="360"/>
      </w:pPr>
      <w:rPr>
        <w:rFonts w:ascii="Arial" w:hAnsi="Arial" w:hint="default"/>
      </w:rPr>
    </w:lvl>
    <w:lvl w:ilvl="6" w:tplc="B6C2E8D8" w:tentative="1">
      <w:start w:val="1"/>
      <w:numFmt w:val="bullet"/>
      <w:lvlText w:val="•"/>
      <w:lvlJc w:val="left"/>
      <w:pPr>
        <w:tabs>
          <w:tab w:val="num" w:pos="4680"/>
        </w:tabs>
        <w:ind w:left="4680" w:hanging="360"/>
      </w:pPr>
      <w:rPr>
        <w:rFonts w:ascii="Arial" w:hAnsi="Arial" w:hint="default"/>
      </w:rPr>
    </w:lvl>
    <w:lvl w:ilvl="7" w:tplc="3EA0D5C2" w:tentative="1">
      <w:start w:val="1"/>
      <w:numFmt w:val="bullet"/>
      <w:lvlText w:val="•"/>
      <w:lvlJc w:val="left"/>
      <w:pPr>
        <w:tabs>
          <w:tab w:val="num" w:pos="5400"/>
        </w:tabs>
        <w:ind w:left="5400" w:hanging="360"/>
      </w:pPr>
      <w:rPr>
        <w:rFonts w:ascii="Arial" w:hAnsi="Arial" w:hint="default"/>
      </w:rPr>
    </w:lvl>
    <w:lvl w:ilvl="8" w:tplc="348897E2" w:tentative="1">
      <w:start w:val="1"/>
      <w:numFmt w:val="bullet"/>
      <w:lvlText w:val="•"/>
      <w:lvlJc w:val="left"/>
      <w:pPr>
        <w:tabs>
          <w:tab w:val="num" w:pos="6120"/>
        </w:tabs>
        <w:ind w:left="6120" w:hanging="360"/>
      </w:pPr>
      <w:rPr>
        <w:rFonts w:ascii="Arial" w:hAnsi="Arial" w:hint="default"/>
      </w:rPr>
    </w:lvl>
  </w:abstractNum>
  <w:abstractNum w:abstractNumId="7">
    <w:nsid w:val="18D443ED"/>
    <w:multiLevelType w:val="hybridMultilevel"/>
    <w:tmpl w:val="23444FBC"/>
    <w:lvl w:ilvl="0" w:tplc="4FD2AB3A">
      <w:start w:val="1"/>
      <w:numFmt w:val="bullet"/>
      <w:lvlText w:val="•"/>
      <w:lvlJc w:val="left"/>
      <w:pPr>
        <w:tabs>
          <w:tab w:val="num" w:pos="720"/>
        </w:tabs>
        <w:ind w:left="720" w:hanging="360"/>
      </w:pPr>
      <w:rPr>
        <w:rFonts w:ascii="Arial" w:hAnsi="Arial" w:hint="default"/>
      </w:rPr>
    </w:lvl>
    <w:lvl w:ilvl="1" w:tplc="595203BC" w:tentative="1">
      <w:start w:val="1"/>
      <w:numFmt w:val="bullet"/>
      <w:lvlText w:val="•"/>
      <w:lvlJc w:val="left"/>
      <w:pPr>
        <w:tabs>
          <w:tab w:val="num" w:pos="1440"/>
        </w:tabs>
        <w:ind w:left="1440" w:hanging="360"/>
      </w:pPr>
      <w:rPr>
        <w:rFonts w:ascii="Arial" w:hAnsi="Arial" w:hint="default"/>
      </w:rPr>
    </w:lvl>
    <w:lvl w:ilvl="2" w:tplc="AC7A6580" w:tentative="1">
      <w:start w:val="1"/>
      <w:numFmt w:val="bullet"/>
      <w:lvlText w:val="•"/>
      <w:lvlJc w:val="left"/>
      <w:pPr>
        <w:tabs>
          <w:tab w:val="num" w:pos="2160"/>
        </w:tabs>
        <w:ind w:left="2160" w:hanging="360"/>
      </w:pPr>
      <w:rPr>
        <w:rFonts w:ascii="Arial" w:hAnsi="Arial" w:hint="default"/>
      </w:rPr>
    </w:lvl>
    <w:lvl w:ilvl="3" w:tplc="7728AA6C" w:tentative="1">
      <w:start w:val="1"/>
      <w:numFmt w:val="bullet"/>
      <w:lvlText w:val="•"/>
      <w:lvlJc w:val="left"/>
      <w:pPr>
        <w:tabs>
          <w:tab w:val="num" w:pos="2880"/>
        </w:tabs>
        <w:ind w:left="2880" w:hanging="360"/>
      </w:pPr>
      <w:rPr>
        <w:rFonts w:ascii="Arial" w:hAnsi="Arial" w:hint="default"/>
      </w:rPr>
    </w:lvl>
    <w:lvl w:ilvl="4" w:tplc="63B21478" w:tentative="1">
      <w:start w:val="1"/>
      <w:numFmt w:val="bullet"/>
      <w:lvlText w:val="•"/>
      <w:lvlJc w:val="left"/>
      <w:pPr>
        <w:tabs>
          <w:tab w:val="num" w:pos="3600"/>
        </w:tabs>
        <w:ind w:left="3600" w:hanging="360"/>
      </w:pPr>
      <w:rPr>
        <w:rFonts w:ascii="Arial" w:hAnsi="Arial" w:hint="default"/>
      </w:rPr>
    </w:lvl>
    <w:lvl w:ilvl="5" w:tplc="C298CDF0" w:tentative="1">
      <w:start w:val="1"/>
      <w:numFmt w:val="bullet"/>
      <w:lvlText w:val="•"/>
      <w:lvlJc w:val="left"/>
      <w:pPr>
        <w:tabs>
          <w:tab w:val="num" w:pos="4320"/>
        </w:tabs>
        <w:ind w:left="4320" w:hanging="360"/>
      </w:pPr>
      <w:rPr>
        <w:rFonts w:ascii="Arial" w:hAnsi="Arial" w:hint="default"/>
      </w:rPr>
    </w:lvl>
    <w:lvl w:ilvl="6" w:tplc="01C41E08" w:tentative="1">
      <w:start w:val="1"/>
      <w:numFmt w:val="bullet"/>
      <w:lvlText w:val="•"/>
      <w:lvlJc w:val="left"/>
      <w:pPr>
        <w:tabs>
          <w:tab w:val="num" w:pos="5040"/>
        </w:tabs>
        <w:ind w:left="5040" w:hanging="360"/>
      </w:pPr>
      <w:rPr>
        <w:rFonts w:ascii="Arial" w:hAnsi="Arial" w:hint="default"/>
      </w:rPr>
    </w:lvl>
    <w:lvl w:ilvl="7" w:tplc="5E5A1218" w:tentative="1">
      <w:start w:val="1"/>
      <w:numFmt w:val="bullet"/>
      <w:lvlText w:val="•"/>
      <w:lvlJc w:val="left"/>
      <w:pPr>
        <w:tabs>
          <w:tab w:val="num" w:pos="5760"/>
        </w:tabs>
        <w:ind w:left="5760" w:hanging="360"/>
      </w:pPr>
      <w:rPr>
        <w:rFonts w:ascii="Arial" w:hAnsi="Arial" w:hint="default"/>
      </w:rPr>
    </w:lvl>
    <w:lvl w:ilvl="8" w:tplc="8040AA74" w:tentative="1">
      <w:start w:val="1"/>
      <w:numFmt w:val="bullet"/>
      <w:lvlText w:val="•"/>
      <w:lvlJc w:val="left"/>
      <w:pPr>
        <w:tabs>
          <w:tab w:val="num" w:pos="6480"/>
        </w:tabs>
        <w:ind w:left="6480" w:hanging="360"/>
      </w:pPr>
      <w:rPr>
        <w:rFonts w:ascii="Arial" w:hAnsi="Arial"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746968"/>
    <w:multiLevelType w:val="hybridMultilevel"/>
    <w:tmpl w:val="C49E77C0"/>
    <w:lvl w:ilvl="0" w:tplc="14EE2B0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0F76576"/>
    <w:multiLevelType w:val="hybridMultilevel"/>
    <w:tmpl w:val="693CB2CA"/>
    <w:lvl w:ilvl="0" w:tplc="B1DCC3CE">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3D41CA"/>
    <w:multiLevelType w:val="hybridMultilevel"/>
    <w:tmpl w:val="39781430"/>
    <w:lvl w:ilvl="0" w:tplc="F390A2EE">
      <w:start w:val="1"/>
      <w:numFmt w:val="bullet"/>
      <w:lvlText w:val="•"/>
      <w:lvlJc w:val="left"/>
      <w:pPr>
        <w:tabs>
          <w:tab w:val="num" w:pos="720"/>
        </w:tabs>
        <w:ind w:left="720" w:hanging="360"/>
      </w:pPr>
      <w:rPr>
        <w:rFonts w:ascii="Arial" w:hAnsi="Arial" w:hint="default"/>
      </w:rPr>
    </w:lvl>
    <w:lvl w:ilvl="1" w:tplc="FEB89A4A" w:tentative="1">
      <w:start w:val="1"/>
      <w:numFmt w:val="bullet"/>
      <w:lvlText w:val="•"/>
      <w:lvlJc w:val="left"/>
      <w:pPr>
        <w:tabs>
          <w:tab w:val="num" w:pos="1440"/>
        </w:tabs>
        <w:ind w:left="1440" w:hanging="360"/>
      </w:pPr>
      <w:rPr>
        <w:rFonts w:ascii="Arial" w:hAnsi="Arial" w:hint="default"/>
      </w:rPr>
    </w:lvl>
    <w:lvl w:ilvl="2" w:tplc="83A6EDF0" w:tentative="1">
      <w:start w:val="1"/>
      <w:numFmt w:val="bullet"/>
      <w:lvlText w:val="•"/>
      <w:lvlJc w:val="left"/>
      <w:pPr>
        <w:tabs>
          <w:tab w:val="num" w:pos="2160"/>
        </w:tabs>
        <w:ind w:left="2160" w:hanging="360"/>
      </w:pPr>
      <w:rPr>
        <w:rFonts w:ascii="Arial" w:hAnsi="Arial" w:hint="default"/>
      </w:rPr>
    </w:lvl>
    <w:lvl w:ilvl="3" w:tplc="D7243D0A" w:tentative="1">
      <w:start w:val="1"/>
      <w:numFmt w:val="bullet"/>
      <w:lvlText w:val="•"/>
      <w:lvlJc w:val="left"/>
      <w:pPr>
        <w:tabs>
          <w:tab w:val="num" w:pos="2880"/>
        </w:tabs>
        <w:ind w:left="2880" w:hanging="360"/>
      </w:pPr>
      <w:rPr>
        <w:rFonts w:ascii="Arial" w:hAnsi="Arial" w:hint="default"/>
      </w:rPr>
    </w:lvl>
    <w:lvl w:ilvl="4" w:tplc="36FA5DDC" w:tentative="1">
      <w:start w:val="1"/>
      <w:numFmt w:val="bullet"/>
      <w:lvlText w:val="•"/>
      <w:lvlJc w:val="left"/>
      <w:pPr>
        <w:tabs>
          <w:tab w:val="num" w:pos="3600"/>
        </w:tabs>
        <w:ind w:left="3600" w:hanging="360"/>
      </w:pPr>
      <w:rPr>
        <w:rFonts w:ascii="Arial" w:hAnsi="Arial" w:hint="default"/>
      </w:rPr>
    </w:lvl>
    <w:lvl w:ilvl="5" w:tplc="5C44F14E" w:tentative="1">
      <w:start w:val="1"/>
      <w:numFmt w:val="bullet"/>
      <w:lvlText w:val="•"/>
      <w:lvlJc w:val="left"/>
      <w:pPr>
        <w:tabs>
          <w:tab w:val="num" w:pos="4320"/>
        </w:tabs>
        <w:ind w:left="4320" w:hanging="360"/>
      </w:pPr>
      <w:rPr>
        <w:rFonts w:ascii="Arial" w:hAnsi="Arial" w:hint="default"/>
      </w:rPr>
    </w:lvl>
    <w:lvl w:ilvl="6" w:tplc="F9F03614" w:tentative="1">
      <w:start w:val="1"/>
      <w:numFmt w:val="bullet"/>
      <w:lvlText w:val="•"/>
      <w:lvlJc w:val="left"/>
      <w:pPr>
        <w:tabs>
          <w:tab w:val="num" w:pos="5040"/>
        </w:tabs>
        <w:ind w:left="5040" w:hanging="360"/>
      </w:pPr>
      <w:rPr>
        <w:rFonts w:ascii="Arial" w:hAnsi="Arial" w:hint="default"/>
      </w:rPr>
    </w:lvl>
    <w:lvl w:ilvl="7" w:tplc="EA9E66E4" w:tentative="1">
      <w:start w:val="1"/>
      <w:numFmt w:val="bullet"/>
      <w:lvlText w:val="•"/>
      <w:lvlJc w:val="left"/>
      <w:pPr>
        <w:tabs>
          <w:tab w:val="num" w:pos="5760"/>
        </w:tabs>
        <w:ind w:left="5760" w:hanging="360"/>
      </w:pPr>
      <w:rPr>
        <w:rFonts w:ascii="Arial" w:hAnsi="Arial" w:hint="default"/>
      </w:rPr>
    </w:lvl>
    <w:lvl w:ilvl="8" w:tplc="B3347C68" w:tentative="1">
      <w:start w:val="1"/>
      <w:numFmt w:val="bullet"/>
      <w:lvlText w:val="•"/>
      <w:lvlJc w:val="left"/>
      <w:pPr>
        <w:tabs>
          <w:tab w:val="num" w:pos="6480"/>
        </w:tabs>
        <w:ind w:left="6480" w:hanging="360"/>
      </w:pPr>
      <w:rPr>
        <w:rFonts w:ascii="Arial" w:hAnsi="Arial" w:hint="default"/>
      </w:rPr>
    </w:lvl>
  </w:abstractNum>
  <w:abstractNum w:abstractNumId="16">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27D29DA"/>
    <w:multiLevelType w:val="hybridMultilevel"/>
    <w:tmpl w:val="6F94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85110"/>
    <w:multiLevelType w:val="hybridMultilevel"/>
    <w:tmpl w:val="10E8F11C"/>
    <w:lvl w:ilvl="0" w:tplc="7CCAC546">
      <w:start w:val="1"/>
      <w:numFmt w:val="bullet"/>
      <w:lvlText w:val="•"/>
      <w:lvlJc w:val="left"/>
      <w:pPr>
        <w:tabs>
          <w:tab w:val="num" w:pos="720"/>
        </w:tabs>
        <w:ind w:left="720" w:hanging="360"/>
      </w:pPr>
      <w:rPr>
        <w:rFonts w:ascii="Arial" w:hAnsi="Arial" w:hint="default"/>
      </w:rPr>
    </w:lvl>
    <w:lvl w:ilvl="1" w:tplc="C986ADB0" w:tentative="1">
      <w:start w:val="1"/>
      <w:numFmt w:val="bullet"/>
      <w:lvlText w:val="•"/>
      <w:lvlJc w:val="left"/>
      <w:pPr>
        <w:tabs>
          <w:tab w:val="num" w:pos="1440"/>
        </w:tabs>
        <w:ind w:left="1440" w:hanging="360"/>
      </w:pPr>
      <w:rPr>
        <w:rFonts w:ascii="Arial" w:hAnsi="Arial" w:hint="default"/>
      </w:rPr>
    </w:lvl>
    <w:lvl w:ilvl="2" w:tplc="BC4A186E" w:tentative="1">
      <w:start w:val="1"/>
      <w:numFmt w:val="bullet"/>
      <w:lvlText w:val="•"/>
      <w:lvlJc w:val="left"/>
      <w:pPr>
        <w:tabs>
          <w:tab w:val="num" w:pos="2160"/>
        </w:tabs>
        <w:ind w:left="2160" w:hanging="360"/>
      </w:pPr>
      <w:rPr>
        <w:rFonts w:ascii="Arial" w:hAnsi="Arial" w:hint="default"/>
      </w:rPr>
    </w:lvl>
    <w:lvl w:ilvl="3" w:tplc="B52E163A" w:tentative="1">
      <w:start w:val="1"/>
      <w:numFmt w:val="bullet"/>
      <w:lvlText w:val="•"/>
      <w:lvlJc w:val="left"/>
      <w:pPr>
        <w:tabs>
          <w:tab w:val="num" w:pos="2880"/>
        </w:tabs>
        <w:ind w:left="2880" w:hanging="360"/>
      </w:pPr>
      <w:rPr>
        <w:rFonts w:ascii="Arial" w:hAnsi="Arial" w:hint="default"/>
      </w:rPr>
    </w:lvl>
    <w:lvl w:ilvl="4" w:tplc="09E8540E" w:tentative="1">
      <w:start w:val="1"/>
      <w:numFmt w:val="bullet"/>
      <w:lvlText w:val="•"/>
      <w:lvlJc w:val="left"/>
      <w:pPr>
        <w:tabs>
          <w:tab w:val="num" w:pos="3600"/>
        </w:tabs>
        <w:ind w:left="3600" w:hanging="360"/>
      </w:pPr>
      <w:rPr>
        <w:rFonts w:ascii="Arial" w:hAnsi="Arial" w:hint="default"/>
      </w:rPr>
    </w:lvl>
    <w:lvl w:ilvl="5" w:tplc="17AED174" w:tentative="1">
      <w:start w:val="1"/>
      <w:numFmt w:val="bullet"/>
      <w:lvlText w:val="•"/>
      <w:lvlJc w:val="left"/>
      <w:pPr>
        <w:tabs>
          <w:tab w:val="num" w:pos="4320"/>
        </w:tabs>
        <w:ind w:left="4320" w:hanging="360"/>
      </w:pPr>
      <w:rPr>
        <w:rFonts w:ascii="Arial" w:hAnsi="Arial" w:hint="default"/>
      </w:rPr>
    </w:lvl>
    <w:lvl w:ilvl="6" w:tplc="CBECC3C0" w:tentative="1">
      <w:start w:val="1"/>
      <w:numFmt w:val="bullet"/>
      <w:lvlText w:val="•"/>
      <w:lvlJc w:val="left"/>
      <w:pPr>
        <w:tabs>
          <w:tab w:val="num" w:pos="5040"/>
        </w:tabs>
        <w:ind w:left="5040" w:hanging="360"/>
      </w:pPr>
      <w:rPr>
        <w:rFonts w:ascii="Arial" w:hAnsi="Arial" w:hint="default"/>
      </w:rPr>
    </w:lvl>
    <w:lvl w:ilvl="7" w:tplc="15745096" w:tentative="1">
      <w:start w:val="1"/>
      <w:numFmt w:val="bullet"/>
      <w:lvlText w:val="•"/>
      <w:lvlJc w:val="left"/>
      <w:pPr>
        <w:tabs>
          <w:tab w:val="num" w:pos="5760"/>
        </w:tabs>
        <w:ind w:left="5760" w:hanging="360"/>
      </w:pPr>
      <w:rPr>
        <w:rFonts w:ascii="Arial" w:hAnsi="Arial" w:hint="default"/>
      </w:rPr>
    </w:lvl>
    <w:lvl w:ilvl="8" w:tplc="EED274DC" w:tentative="1">
      <w:start w:val="1"/>
      <w:numFmt w:val="bullet"/>
      <w:lvlText w:val="•"/>
      <w:lvlJc w:val="left"/>
      <w:pPr>
        <w:tabs>
          <w:tab w:val="num" w:pos="6480"/>
        </w:tabs>
        <w:ind w:left="6480" w:hanging="360"/>
      </w:pPr>
      <w:rPr>
        <w:rFonts w:ascii="Arial" w:hAnsi="Arial" w:hint="default"/>
      </w:rPr>
    </w:lvl>
  </w:abstractNum>
  <w:abstractNum w:abstractNumId="19">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FC383D"/>
    <w:multiLevelType w:val="hybridMultilevel"/>
    <w:tmpl w:val="776609C8"/>
    <w:lvl w:ilvl="0" w:tplc="9450337A">
      <w:start w:val="1"/>
      <w:numFmt w:val="bullet"/>
      <w:lvlText w:val="•"/>
      <w:lvlJc w:val="left"/>
      <w:pPr>
        <w:tabs>
          <w:tab w:val="num" w:pos="720"/>
        </w:tabs>
        <w:ind w:left="720" w:hanging="360"/>
      </w:pPr>
      <w:rPr>
        <w:rFonts w:ascii="Arial" w:hAnsi="Arial" w:hint="default"/>
      </w:rPr>
    </w:lvl>
    <w:lvl w:ilvl="1" w:tplc="4B205C6A" w:tentative="1">
      <w:start w:val="1"/>
      <w:numFmt w:val="bullet"/>
      <w:lvlText w:val="•"/>
      <w:lvlJc w:val="left"/>
      <w:pPr>
        <w:tabs>
          <w:tab w:val="num" w:pos="1440"/>
        </w:tabs>
        <w:ind w:left="1440" w:hanging="360"/>
      </w:pPr>
      <w:rPr>
        <w:rFonts w:ascii="Arial" w:hAnsi="Arial" w:hint="default"/>
      </w:rPr>
    </w:lvl>
    <w:lvl w:ilvl="2" w:tplc="E72AC9D2" w:tentative="1">
      <w:start w:val="1"/>
      <w:numFmt w:val="bullet"/>
      <w:lvlText w:val="•"/>
      <w:lvlJc w:val="left"/>
      <w:pPr>
        <w:tabs>
          <w:tab w:val="num" w:pos="2160"/>
        </w:tabs>
        <w:ind w:left="2160" w:hanging="360"/>
      </w:pPr>
      <w:rPr>
        <w:rFonts w:ascii="Arial" w:hAnsi="Arial" w:hint="default"/>
      </w:rPr>
    </w:lvl>
    <w:lvl w:ilvl="3" w:tplc="22F8E22C" w:tentative="1">
      <w:start w:val="1"/>
      <w:numFmt w:val="bullet"/>
      <w:lvlText w:val="•"/>
      <w:lvlJc w:val="left"/>
      <w:pPr>
        <w:tabs>
          <w:tab w:val="num" w:pos="2880"/>
        </w:tabs>
        <w:ind w:left="2880" w:hanging="360"/>
      </w:pPr>
      <w:rPr>
        <w:rFonts w:ascii="Arial" w:hAnsi="Arial" w:hint="default"/>
      </w:rPr>
    </w:lvl>
    <w:lvl w:ilvl="4" w:tplc="38847D36" w:tentative="1">
      <w:start w:val="1"/>
      <w:numFmt w:val="bullet"/>
      <w:lvlText w:val="•"/>
      <w:lvlJc w:val="left"/>
      <w:pPr>
        <w:tabs>
          <w:tab w:val="num" w:pos="3600"/>
        </w:tabs>
        <w:ind w:left="3600" w:hanging="360"/>
      </w:pPr>
      <w:rPr>
        <w:rFonts w:ascii="Arial" w:hAnsi="Arial" w:hint="default"/>
      </w:rPr>
    </w:lvl>
    <w:lvl w:ilvl="5" w:tplc="1F160480" w:tentative="1">
      <w:start w:val="1"/>
      <w:numFmt w:val="bullet"/>
      <w:lvlText w:val="•"/>
      <w:lvlJc w:val="left"/>
      <w:pPr>
        <w:tabs>
          <w:tab w:val="num" w:pos="4320"/>
        </w:tabs>
        <w:ind w:left="4320" w:hanging="360"/>
      </w:pPr>
      <w:rPr>
        <w:rFonts w:ascii="Arial" w:hAnsi="Arial" w:hint="default"/>
      </w:rPr>
    </w:lvl>
    <w:lvl w:ilvl="6" w:tplc="FE302776" w:tentative="1">
      <w:start w:val="1"/>
      <w:numFmt w:val="bullet"/>
      <w:lvlText w:val="•"/>
      <w:lvlJc w:val="left"/>
      <w:pPr>
        <w:tabs>
          <w:tab w:val="num" w:pos="5040"/>
        </w:tabs>
        <w:ind w:left="5040" w:hanging="360"/>
      </w:pPr>
      <w:rPr>
        <w:rFonts w:ascii="Arial" w:hAnsi="Arial" w:hint="default"/>
      </w:rPr>
    </w:lvl>
    <w:lvl w:ilvl="7" w:tplc="481A5B1A" w:tentative="1">
      <w:start w:val="1"/>
      <w:numFmt w:val="bullet"/>
      <w:lvlText w:val="•"/>
      <w:lvlJc w:val="left"/>
      <w:pPr>
        <w:tabs>
          <w:tab w:val="num" w:pos="5760"/>
        </w:tabs>
        <w:ind w:left="5760" w:hanging="360"/>
      </w:pPr>
      <w:rPr>
        <w:rFonts w:ascii="Arial" w:hAnsi="Arial" w:hint="default"/>
      </w:rPr>
    </w:lvl>
    <w:lvl w:ilvl="8" w:tplc="686C77C0" w:tentative="1">
      <w:start w:val="1"/>
      <w:numFmt w:val="bullet"/>
      <w:lvlText w:val="•"/>
      <w:lvlJc w:val="left"/>
      <w:pPr>
        <w:tabs>
          <w:tab w:val="num" w:pos="6480"/>
        </w:tabs>
        <w:ind w:left="6480" w:hanging="360"/>
      </w:pPr>
      <w:rPr>
        <w:rFonts w:ascii="Arial" w:hAnsi="Arial" w:hint="default"/>
      </w:rPr>
    </w:lvl>
  </w:abstractNum>
  <w:abstractNum w:abstractNumId="21">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3">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61109B"/>
    <w:multiLevelType w:val="hybridMultilevel"/>
    <w:tmpl w:val="6D164AB4"/>
    <w:lvl w:ilvl="0" w:tplc="5FFE1272">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25">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592773"/>
    <w:multiLevelType w:val="hybridMultilevel"/>
    <w:tmpl w:val="95462F30"/>
    <w:lvl w:ilvl="0" w:tplc="E376A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4E6F4D"/>
    <w:multiLevelType w:val="hybridMultilevel"/>
    <w:tmpl w:val="3FB68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77AE1344"/>
    <w:multiLevelType w:val="hybridMultilevel"/>
    <w:tmpl w:val="D50A996E"/>
    <w:lvl w:ilvl="0" w:tplc="844849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4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D93196"/>
    <w:multiLevelType w:val="hybridMultilevel"/>
    <w:tmpl w:val="20441156"/>
    <w:lvl w:ilvl="0" w:tplc="E376A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7"/>
  </w:num>
  <w:num w:numId="3">
    <w:abstractNumId w:val="8"/>
  </w:num>
  <w:num w:numId="4">
    <w:abstractNumId w:val="33"/>
  </w:num>
  <w:num w:numId="5">
    <w:abstractNumId w:val="19"/>
  </w:num>
  <w:num w:numId="6">
    <w:abstractNumId w:val="36"/>
  </w:num>
  <w:num w:numId="7">
    <w:abstractNumId w:val="23"/>
  </w:num>
  <w:num w:numId="8">
    <w:abstractNumId w:val="34"/>
  </w:num>
  <w:num w:numId="9">
    <w:abstractNumId w:val="41"/>
  </w:num>
  <w:num w:numId="10">
    <w:abstractNumId w:val="22"/>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4"/>
  </w:num>
  <w:num w:numId="18">
    <w:abstractNumId w:val="21"/>
  </w:num>
  <w:num w:numId="19">
    <w:abstractNumId w:val="10"/>
  </w:num>
  <w:num w:numId="20">
    <w:abstractNumId w:val="44"/>
  </w:num>
  <w:num w:numId="21">
    <w:abstractNumId w:val="2"/>
  </w:num>
  <w:num w:numId="22">
    <w:abstractNumId w:val="26"/>
  </w:num>
  <w:num w:numId="23">
    <w:abstractNumId w:val="13"/>
  </w:num>
  <w:num w:numId="24">
    <w:abstractNumId w:val="38"/>
  </w:num>
  <w:num w:numId="25">
    <w:abstractNumId w:val="14"/>
  </w:num>
  <w:num w:numId="26">
    <w:abstractNumId w:val="1"/>
  </w:num>
  <w:num w:numId="27">
    <w:abstractNumId w:val="25"/>
  </w:num>
  <w:num w:numId="28">
    <w:abstractNumId w:val="40"/>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7"/>
  </w:num>
  <w:num w:numId="31">
    <w:abstractNumId w:val="35"/>
  </w:num>
  <w:num w:numId="32">
    <w:abstractNumId w:val="3"/>
  </w:num>
  <w:num w:numId="33">
    <w:abstractNumId w:val="31"/>
  </w:num>
  <w:num w:numId="34">
    <w:abstractNumId w:val="29"/>
  </w:num>
  <w:num w:numId="35">
    <w:abstractNumId w:val="42"/>
  </w:num>
  <w:num w:numId="36">
    <w:abstractNumId w:val="17"/>
  </w:num>
  <w:num w:numId="37">
    <w:abstractNumId w:val="45"/>
  </w:num>
  <w:num w:numId="38">
    <w:abstractNumId w:val="30"/>
  </w:num>
  <w:num w:numId="39">
    <w:abstractNumId w:val="5"/>
  </w:num>
  <w:num w:numId="40">
    <w:abstractNumId w:val="11"/>
  </w:num>
  <w:num w:numId="41">
    <w:abstractNumId w:val="12"/>
  </w:num>
  <w:num w:numId="42">
    <w:abstractNumId w:val="39"/>
  </w:num>
  <w:num w:numId="43">
    <w:abstractNumId w:val="43"/>
  </w:num>
  <w:num w:numId="44">
    <w:abstractNumId w:val="32"/>
  </w:num>
  <w:num w:numId="45">
    <w:abstractNumId w:val="24"/>
  </w:num>
  <w:num w:numId="46">
    <w:abstractNumId w:val="20"/>
  </w:num>
  <w:num w:numId="47">
    <w:abstractNumId w:val="6"/>
  </w:num>
  <w:num w:numId="48">
    <w:abstractNumId w:val="7"/>
  </w:num>
  <w:num w:numId="49">
    <w:abstractNumId w:val="18"/>
  </w:num>
  <w:num w:numId="50">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C2710"/>
    <w:rsid w:val="001C29A5"/>
    <w:rsid w:val="001C3652"/>
    <w:rsid w:val="001C38C8"/>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0993"/>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50FC"/>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DA"/>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60CF"/>
    <w:rsid w:val="0058735A"/>
    <w:rsid w:val="00590057"/>
    <w:rsid w:val="0059019D"/>
    <w:rsid w:val="00590EDD"/>
    <w:rsid w:val="005925D3"/>
    <w:rsid w:val="00595B66"/>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D15"/>
    <w:rsid w:val="005C5ACE"/>
    <w:rsid w:val="005C625B"/>
    <w:rsid w:val="005C6358"/>
    <w:rsid w:val="005C760C"/>
    <w:rsid w:val="005D0461"/>
    <w:rsid w:val="005D1364"/>
    <w:rsid w:val="005D2DC0"/>
    <w:rsid w:val="005D5123"/>
    <w:rsid w:val="005D609B"/>
    <w:rsid w:val="005D6DBE"/>
    <w:rsid w:val="005E216B"/>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1DE0"/>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28E5"/>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0D9A"/>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29FC"/>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2F35"/>
    <w:rsid w:val="00BE38BD"/>
    <w:rsid w:val="00BE4E2A"/>
    <w:rsid w:val="00BE6B8F"/>
    <w:rsid w:val="00BF136D"/>
    <w:rsid w:val="00BF1704"/>
    <w:rsid w:val="00BF1FF6"/>
    <w:rsid w:val="00BF2847"/>
    <w:rsid w:val="00BF3683"/>
    <w:rsid w:val="00BF7DD0"/>
    <w:rsid w:val="00C02174"/>
    <w:rsid w:val="00C03D1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2FE"/>
    <w:rsid w:val="00F027F1"/>
    <w:rsid w:val="00F02C69"/>
    <w:rsid w:val="00F04C1C"/>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9"/>
    <w:rsid w:val="00FA5667"/>
    <w:rsid w:val="00FA5D29"/>
    <w:rsid w:val="00FA768F"/>
    <w:rsid w:val="00FB0B19"/>
    <w:rsid w:val="00FB254C"/>
    <w:rsid w:val="00FB4BF0"/>
    <w:rsid w:val="00FB5FDF"/>
    <w:rsid w:val="00FB7D6C"/>
    <w:rsid w:val="00FC048F"/>
    <w:rsid w:val="00FC26BF"/>
    <w:rsid w:val="00FC2D0E"/>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5C8E-BD24-4662-9B03-788F3A5D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2018-04-05T14:01:00Z</dcterms:created>
  <dcterms:modified xsi:type="dcterms:W3CDTF">2018-04-05T14:01:00Z</dcterms:modified>
</cp:coreProperties>
</file>